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695C">
      <w:pPr>
        <w:spacing w:line="360" w:lineRule="auto"/>
        <w:jc w:val="center"/>
        <w:outlineLvl w:val="0"/>
        <w:rPr>
          <w:b/>
          <w:sz w:val="36"/>
          <w:szCs w:val="36"/>
        </w:rPr>
      </w:pPr>
      <w:bookmarkStart w:id="0" w:name="_Toc99301424"/>
      <w:r>
        <w:rPr>
          <w:b/>
          <w:sz w:val="36"/>
          <w:szCs w:val="36"/>
        </w:rPr>
        <w:t>第五章   采购需求</w:t>
      </w:r>
      <w:bookmarkEnd w:id="0"/>
    </w:p>
    <w:p w14:paraId="300EC0E7">
      <w:pPr>
        <w:spacing w:line="360" w:lineRule="auto"/>
        <w:rPr>
          <w:rFonts w:ascii="宋体" w:hAnsi="宋体" w:cs="宋体"/>
          <w:b/>
          <w:color w:val="121212"/>
          <w:sz w:val="24"/>
          <w:szCs w:val="22"/>
        </w:rPr>
      </w:pPr>
      <w:r>
        <w:rPr>
          <w:rFonts w:hint="eastAsia" w:ascii="宋体" w:hAnsi="宋体" w:cs="宋体"/>
          <w:b/>
          <w:sz w:val="24"/>
          <w:szCs w:val="22"/>
        </w:rPr>
        <w:t>一</w:t>
      </w:r>
      <w:r>
        <w:rPr>
          <w:rFonts w:hint="eastAsia" w:ascii="宋体" w:hAnsi="宋体" w:cs="宋体"/>
          <w:b/>
          <w:color w:val="121212"/>
          <w:sz w:val="24"/>
          <w:szCs w:val="22"/>
        </w:rPr>
        <w:t>、采购标的</w:t>
      </w:r>
    </w:p>
    <w:p w14:paraId="1689C59D">
      <w:pPr>
        <w:spacing w:line="440" w:lineRule="exact"/>
        <w:contextualSpacing/>
        <w:rPr>
          <w:rFonts w:ascii="宋体" w:hAnsi="宋体" w:cs="宋体"/>
          <w:color w:val="121212"/>
          <w:sz w:val="24"/>
          <w:szCs w:val="22"/>
        </w:rPr>
      </w:pPr>
      <w:r>
        <w:rPr>
          <w:rFonts w:hint="eastAsia" w:ascii="宋体" w:hAnsi="宋体" w:cs="宋体"/>
          <w:color w:val="121212"/>
          <w:sz w:val="24"/>
          <w:szCs w:val="22"/>
        </w:rPr>
        <w:t>1．采购标的说明：按要求配备专业服务团队人员，开展日常创意楼的管理及维护，强电系统、弱电系统、给排水系统、空调系统、采暖系统、通风系统以及各类机电系统设施设备的运行维护，保证安全运行。</w:t>
      </w:r>
    </w:p>
    <w:p w14:paraId="65F37729">
      <w:pPr>
        <w:spacing w:line="440" w:lineRule="exact"/>
        <w:contextualSpacing/>
        <w:rPr>
          <w:rFonts w:hint="eastAsia" w:ascii="宋体" w:hAnsi="宋体" w:cs="宋体"/>
          <w:color w:val="121212"/>
          <w:sz w:val="24"/>
          <w:szCs w:val="22"/>
        </w:rPr>
      </w:pPr>
      <w:r>
        <w:rPr>
          <w:rFonts w:ascii="宋体" w:hAnsi="宋体" w:cs="宋体"/>
          <w:color w:val="121212"/>
          <w:sz w:val="24"/>
          <w:szCs w:val="22"/>
        </w:rPr>
        <w:t>采购标的：</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572"/>
        <w:gridCol w:w="993"/>
        <w:gridCol w:w="992"/>
        <w:gridCol w:w="2381"/>
      </w:tblGrid>
      <w:tr w14:paraId="2ECD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28B12042">
            <w:pPr>
              <w:jc w:val="center"/>
              <w:rPr>
                <w:rFonts w:ascii="宋体" w:hAnsi="宋体" w:cs="宋体"/>
                <w:b/>
                <w:sz w:val="24"/>
                <w:szCs w:val="22"/>
              </w:rPr>
            </w:pPr>
            <w:r>
              <w:rPr>
                <w:rFonts w:hint="eastAsia" w:ascii="宋体" w:hAnsi="宋体" w:cs="宋体"/>
                <w:b/>
                <w:sz w:val="24"/>
                <w:szCs w:val="22"/>
              </w:rPr>
              <w:t>包号</w:t>
            </w:r>
          </w:p>
        </w:tc>
        <w:tc>
          <w:tcPr>
            <w:tcW w:w="3572" w:type="dxa"/>
            <w:noWrap w:val="0"/>
            <w:vAlign w:val="center"/>
          </w:tcPr>
          <w:p w14:paraId="06263173">
            <w:pPr>
              <w:jc w:val="center"/>
              <w:rPr>
                <w:rFonts w:ascii="宋体" w:hAnsi="宋体" w:cs="宋体"/>
                <w:b/>
                <w:sz w:val="24"/>
                <w:szCs w:val="22"/>
              </w:rPr>
            </w:pPr>
            <w:r>
              <w:rPr>
                <w:rFonts w:hint="eastAsia" w:ascii="宋体" w:hAnsi="宋体" w:cs="宋体"/>
                <w:b/>
                <w:sz w:val="24"/>
                <w:szCs w:val="22"/>
              </w:rPr>
              <w:t>标的名称</w:t>
            </w:r>
          </w:p>
        </w:tc>
        <w:tc>
          <w:tcPr>
            <w:tcW w:w="993" w:type="dxa"/>
            <w:noWrap w:val="0"/>
            <w:vAlign w:val="center"/>
          </w:tcPr>
          <w:p w14:paraId="62901176">
            <w:pPr>
              <w:jc w:val="center"/>
              <w:rPr>
                <w:rFonts w:ascii="宋体" w:hAnsi="宋体" w:cs="宋体"/>
                <w:b/>
                <w:sz w:val="24"/>
                <w:szCs w:val="22"/>
              </w:rPr>
            </w:pPr>
            <w:r>
              <w:rPr>
                <w:rFonts w:hint="eastAsia" w:ascii="宋体" w:hAnsi="宋体" w:cs="宋体"/>
                <w:b/>
                <w:sz w:val="24"/>
                <w:szCs w:val="22"/>
              </w:rPr>
              <w:t>数量</w:t>
            </w:r>
          </w:p>
        </w:tc>
        <w:tc>
          <w:tcPr>
            <w:tcW w:w="992" w:type="dxa"/>
            <w:noWrap w:val="0"/>
            <w:vAlign w:val="center"/>
          </w:tcPr>
          <w:p w14:paraId="2CDCFB56">
            <w:pPr>
              <w:jc w:val="center"/>
              <w:rPr>
                <w:rFonts w:ascii="宋体" w:hAnsi="宋体" w:cs="宋体"/>
                <w:b/>
                <w:sz w:val="24"/>
                <w:szCs w:val="22"/>
              </w:rPr>
            </w:pPr>
            <w:r>
              <w:rPr>
                <w:rFonts w:hint="eastAsia" w:ascii="宋体" w:hAnsi="宋体" w:cs="宋体"/>
                <w:b/>
                <w:sz w:val="24"/>
                <w:szCs w:val="22"/>
              </w:rPr>
              <w:t>单位</w:t>
            </w:r>
          </w:p>
        </w:tc>
        <w:tc>
          <w:tcPr>
            <w:tcW w:w="2381" w:type="dxa"/>
            <w:noWrap w:val="0"/>
            <w:vAlign w:val="center"/>
          </w:tcPr>
          <w:p w14:paraId="25541B44">
            <w:pPr>
              <w:jc w:val="center"/>
              <w:rPr>
                <w:rFonts w:ascii="宋体" w:hAnsi="宋体" w:cs="宋体"/>
                <w:b/>
                <w:sz w:val="24"/>
                <w:szCs w:val="22"/>
              </w:rPr>
            </w:pPr>
            <w:r>
              <w:rPr>
                <w:rFonts w:hint="eastAsia" w:ascii="宋体" w:hAnsi="宋体" w:cs="宋体"/>
                <w:b/>
                <w:sz w:val="24"/>
                <w:szCs w:val="22"/>
              </w:rPr>
              <w:t>备注</w:t>
            </w:r>
          </w:p>
        </w:tc>
      </w:tr>
      <w:tr w14:paraId="5BC3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59" w:type="dxa"/>
            <w:noWrap w:val="0"/>
            <w:vAlign w:val="center"/>
          </w:tcPr>
          <w:p w14:paraId="14FFB4C4">
            <w:pPr>
              <w:jc w:val="center"/>
              <w:rPr>
                <w:rFonts w:ascii="宋体" w:hAnsi="宋体" w:cs="宋体"/>
                <w:sz w:val="24"/>
                <w:szCs w:val="22"/>
              </w:rPr>
            </w:pPr>
            <w:r>
              <w:rPr>
                <w:rFonts w:hint="eastAsia" w:ascii="宋体" w:hAnsi="宋体" w:cs="宋体"/>
                <w:sz w:val="24"/>
                <w:szCs w:val="22"/>
              </w:rPr>
              <w:t>1</w:t>
            </w:r>
          </w:p>
        </w:tc>
        <w:tc>
          <w:tcPr>
            <w:tcW w:w="3572" w:type="dxa"/>
            <w:noWrap w:val="0"/>
            <w:vAlign w:val="center"/>
          </w:tcPr>
          <w:p w14:paraId="544D7114">
            <w:pPr>
              <w:widowControl/>
              <w:jc w:val="center"/>
              <w:rPr>
                <w:rFonts w:ascii="宋体" w:hAnsi="宋体" w:cs="宋体"/>
                <w:kern w:val="0"/>
                <w:sz w:val="24"/>
                <w:szCs w:val="22"/>
              </w:rPr>
            </w:pPr>
            <w:r>
              <w:rPr>
                <w:rFonts w:hint="eastAsia" w:ascii="宋体" w:hAnsi="宋体" w:cs="宋体"/>
                <w:kern w:val="0"/>
                <w:sz w:val="24"/>
                <w:szCs w:val="22"/>
              </w:rPr>
              <w:t>北京交响乐团2026年度落户台湖运行保障创意楼物业费</w:t>
            </w:r>
          </w:p>
        </w:tc>
        <w:tc>
          <w:tcPr>
            <w:tcW w:w="993" w:type="dxa"/>
            <w:noWrap w:val="0"/>
            <w:vAlign w:val="center"/>
          </w:tcPr>
          <w:p w14:paraId="3D865341">
            <w:pPr>
              <w:jc w:val="center"/>
              <w:rPr>
                <w:rFonts w:ascii="宋体" w:hAnsi="宋体" w:cs="宋体"/>
                <w:sz w:val="24"/>
                <w:szCs w:val="22"/>
              </w:rPr>
            </w:pPr>
            <w:r>
              <w:rPr>
                <w:rFonts w:hint="eastAsia" w:ascii="宋体" w:hAnsi="宋体" w:cs="宋体"/>
                <w:sz w:val="24"/>
                <w:szCs w:val="22"/>
              </w:rPr>
              <w:t xml:space="preserve">1 </w:t>
            </w:r>
          </w:p>
        </w:tc>
        <w:tc>
          <w:tcPr>
            <w:tcW w:w="992" w:type="dxa"/>
            <w:noWrap w:val="0"/>
            <w:vAlign w:val="center"/>
          </w:tcPr>
          <w:p w14:paraId="1BE962A4">
            <w:pPr>
              <w:jc w:val="center"/>
              <w:rPr>
                <w:rFonts w:ascii="宋体" w:hAnsi="宋体" w:cs="宋体"/>
                <w:sz w:val="24"/>
                <w:szCs w:val="22"/>
              </w:rPr>
            </w:pPr>
            <w:r>
              <w:rPr>
                <w:rFonts w:hint="eastAsia" w:ascii="宋体" w:hAnsi="宋体" w:cs="宋体"/>
                <w:sz w:val="24"/>
                <w:szCs w:val="22"/>
              </w:rPr>
              <w:t>项</w:t>
            </w:r>
          </w:p>
        </w:tc>
        <w:tc>
          <w:tcPr>
            <w:tcW w:w="2381" w:type="dxa"/>
            <w:noWrap w:val="0"/>
            <w:vAlign w:val="center"/>
          </w:tcPr>
          <w:p w14:paraId="1EC11BB3">
            <w:pPr>
              <w:jc w:val="center"/>
              <w:rPr>
                <w:rFonts w:ascii="宋体" w:hAnsi="宋体" w:cs="宋体"/>
                <w:sz w:val="24"/>
                <w:szCs w:val="22"/>
              </w:rPr>
            </w:pPr>
          </w:p>
        </w:tc>
      </w:tr>
    </w:tbl>
    <w:p w14:paraId="16FC4AE0">
      <w:pPr>
        <w:spacing w:line="440" w:lineRule="exact"/>
        <w:contextualSpacing/>
        <w:rPr>
          <w:rFonts w:hint="eastAsia" w:ascii="宋体" w:hAnsi="宋体" w:cs="宋体"/>
          <w:color w:val="121212"/>
          <w:sz w:val="24"/>
          <w:szCs w:val="22"/>
        </w:rPr>
      </w:pPr>
    </w:p>
    <w:p w14:paraId="7CAB38E6">
      <w:pPr>
        <w:spacing w:line="440" w:lineRule="exact"/>
        <w:contextualSpacing/>
        <w:rPr>
          <w:rFonts w:hint="eastAsia" w:ascii="宋体" w:hAnsi="宋体" w:cs="宋体"/>
          <w:color w:val="121212"/>
          <w:sz w:val="24"/>
          <w:szCs w:val="22"/>
        </w:rPr>
      </w:pPr>
      <w:r>
        <w:rPr>
          <w:rFonts w:hint="eastAsia" w:ascii="宋体" w:hAnsi="宋体" w:cs="宋体"/>
          <w:color w:val="121212"/>
          <w:sz w:val="24"/>
          <w:szCs w:val="22"/>
        </w:rPr>
        <w:t>2．项目概况</w:t>
      </w:r>
    </w:p>
    <w:p w14:paraId="2C52897F">
      <w:pPr>
        <w:spacing w:line="400" w:lineRule="exact"/>
        <w:ind w:firstLine="480" w:firstLineChars="200"/>
        <w:contextualSpacing/>
        <w:rPr>
          <w:rFonts w:ascii="宋体" w:hAnsi="宋体" w:cs="宋体"/>
          <w:color w:val="121212"/>
          <w:sz w:val="24"/>
          <w:szCs w:val="22"/>
        </w:rPr>
      </w:pPr>
      <w:r>
        <w:rPr>
          <w:rFonts w:ascii="宋体" w:hAnsi="宋体" w:cs="宋体"/>
          <w:color w:val="121212"/>
          <w:sz w:val="24"/>
          <w:szCs w:val="22"/>
        </w:rPr>
        <w:t>创意楼位于北投台湖文化演艺产业园中部，用地范围面积约为4355平方米</w:t>
      </w:r>
      <w:r>
        <w:rPr>
          <w:rFonts w:hint="eastAsia" w:ascii="宋体" w:hAnsi="宋体" w:cs="宋体"/>
          <w:color w:val="121212"/>
          <w:sz w:val="24"/>
          <w:szCs w:val="22"/>
        </w:rPr>
        <w:t>(其中建筑占地面积约2000平方米,院落绿化面积约2</w:t>
      </w:r>
      <w:r>
        <w:rPr>
          <w:rFonts w:ascii="宋体" w:hAnsi="宋体" w:cs="宋体"/>
          <w:color w:val="121212"/>
          <w:sz w:val="24"/>
          <w:szCs w:val="22"/>
        </w:rPr>
        <w:t>355</w:t>
      </w:r>
      <w:r>
        <w:rPr>
          <w:rFonts w:hint="eastAsia" w:ascii="宋体" w:hAnsi="宋体" w:cs="宋体"/>
          <w:color w:val="121212"/>
          <w:sz w:val="24"/>
          <w:szCs w:val="22"/>
        </w:rPr>
        <w:t>平方米)</w:t>
      </w:r>
      <w:r>
        <w:rPr>
          <w:rFonts w:ascii="宋体" w:hAnsi="宋体" w:cs="宋体"/>
          <w:color w:val="121212"/>
          <w:sz w:val="24"/>
          <w:szCs w:val="22"/>
        </w:rPr>
        <w:t>，</w:t>
      </w:r>
      <w:r>
        <w:rPr>
          <w:rFonts w:hint="eastAsia" w:ascii="宋体" w:hAnsi="宋体" w:cs="宋体"/>
          <w:color w:val="121212"/>
          <w:sz w:val="24"/>
          <w:szCs w:val="22"/>
        </w:rPr>
        <w:t>建筑高度约2</w:t>
      </w:r>
      <w:r>
        <w:rPr>
          <w:rFonts w:ascii="宋体" w:hAnsi="宋体" w:cs="宋体"/>
          <w:color w:val="121212"/>
          <w:sz w:val="24"/>
          <w:szCs w:val="22"/>
        </w:rPr>
        <w:t>2</w:t>
      </w:r>
      <w:r>
        <w:rPr>
          <w:rFonts w:hint="eastAsia" w:ascii="宋体" w:hAnsi="宋体" w:cs="宋体"/>
          <w:color w:val="121212"/>
          <w:sz w:val="24"/>
          <w:szCs w:val="22"/>
        </w:rPr>
        <w:t>.</w:t>
      </w:r>
      <w:r>
        <w:rPr>
          <w:rFonts w:ascii="宋体" w:hAnsi="宋体" w:cs="宋体"/>
          <w:color w:val="121212"/>
          <w:sz w:val="24"/>
          <w:szCs w:val="22"/>
        </w:rPr>
        <w:t>5</w:t>
      </w:r>
      <w:r>
        <w:rPr>
          <w:rFonts w:hint="eastAsia" w:ascii="宋体" w:hAnsi="宋体" w:cs="宋体"/>
          <w:color w:val="121212"/>
          <w:sz w:val="24"/>
          <w:szCs w:val="22"/>
        </w:rPr>
        <w:t>米,</w:t>
      </w:r>
      <w:r>
        <w:rPr>
          <w:rFonts w:ascii="宋体" w:hAnsi="宋体" w:cs="宋体"/>
          <w:color w:val="121212"/>
          <w:sz w:val="24"/>
          <w:szCs w:val="22"/>
        </w:rPr>
        <w:t>总建筑面积为10272.46 平方米，地上5层，无地下室，</w:t>
      </w:r>
      <w:r>
        <w:rPr>
          <w:rFonts w:hint="eastAsia" w:ascii="宋体" w:hAnsi="宋体" w:cs="宋体"/>
          <w:color w:val="121212"/>
          <w:sz w:val="24"/>
          <w:szCs w:val="22"/>
        </w:rPr>
        <w:t>其中1层——4层每层面积约2000平方米，5层约</w:t>
      </w:r>
      <w:r>
        <w:rPr>
          <w:rFonts w:ascii="宋体" w:hAnsi="宋体" w:cs="宋体"/>
          <w:color w:val="121212"/>
          <w:sz w:val="24"/>
          <w:szCs w:val="22"/>
        </w:rPr>
        <w:t>2272.46</w:t>
      </w:r>
      <w:r>
        <w:rPr>
          <w:rFonts w:hint="eastAsia" w:ascii="宋体" w:hAnsi="宋体" w:cs="宋体"/>
          <w:color w:val="121212"/>
          <w:sz w:val="24"/>
          <w:szCs w:val="22"/>
        </w:rPr>
        <w:t>平方米。创意楼主要满足乐团的艺术生产、行政管理和公共服务三大功能。</w:t>
      </w:r>
    </w:p>
    <w:p w14:paraId="70AFC0D8">
      <w:pPr>
        <w:autoSpaceDE w:val="0"/>
        <w:autoSpaceDN w:val="0"/>
        <w:adjustRightInd w:val="0"/>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功能分区情况:</w:t>
      </w:r>
    </w:p>
    <w:p w14:paraId="2BD987F4">
      <w:pPr>
        <w:spacing w:line="400" w:lineRule="exact"/>
        <w:ind w:firstLine="480"/>
        <w:contextualSpacing/>
        <w:rPr>
          <w:rFonts w:ascii="宋体" w:hAnsi="宋体" w:cs="宋体"/>
          <w:color w:val="121212"/>
          <w:sz w:val="24"/>
          <w:szCs w:val="22"/>
        </w:rPr>
      </w:pPr>
      <w:r>
        <w:rPr>
          <w:rFonts w:ascii="宋体" w:hAnsi="宋体" w:cs="宋体"/>
          <w:color w:val="121212"/>
          <w:sz w:val="24"/>
          <w:szCs w:val="22"/>
        </w:rPr>
        <w:t>创意楼一层为</w:t>
      </w:r>
      <w:r>
        <w:rPr>
          <w:rFonts w:hint="eastAsia" w:ascii="宋体" w:hAnsi="宋体" w:cs="宋体"/>
          <w:color w:val="121212"/>
          <w:sz w:val="24"/>
          <w:szCs w:val="22"/>
        </w:rPr>
        <w:t>首都交响乐体验馆，设置了多媒体音乐视听室、乐器体验区、交响乐发展史展厅、</w:t>
      </w:r>
      <w:r>
        <w:rPr>
          <w:rFonts w:ascii="宋体" w:hAnsi="宋体" w:cs="宋体"/>
          <w:color w:val="121212"/>
          <w:sz w:val="24"/>
          <w:szCs w:val="22"/>
        </w:rPr>
        <w:t>小型排练厅及给水加压机房等配套区。主要是满足音乐爱好者欣赏交响乐珍贵的影像音频资料</w:t>
      </w:r>
      <w:r>
        <w:rPr>
          <w:rFonts w:hint="eastAsia" w:ascii="宋体" w:hAnsi="宋体" w:cs="宋体"/>
          <w:color w:val="121212"/>
          <w:sz w:val="24"/>
          <w:szCs w:val="22"/>
        </w:rPr>
        <w:t>，</w:t>
      </w:r>
      <w:r>
        <w:rPr>
          <w:rFonts w:ascii="宋体" w:hAnsi="宋体" w:cs="宋体"/>
          <w:color w:val="121212"/>
          <w:sz w:val="24"/>
          <w:szCs w:val="22"/>
        </w:rPr>
        <w:t>展示交响乐团乐器及体验乐队</w:t>
      </w:r>
      <w:r>
        <w:rPr>
          <w:rFonts w:hint="eastAsia" w:ascii="宋体" w:hAnsi="宋体" w:cs="宋体"/>
          <w:color w:val="121212"/>
          <w:sz w:val="24"/>
          <w:szCs w:val="22"/>
        </w:rPr>
        <w:t>编制，</w:t>
      </w:r>
      <w:r>
        <w:rPr>
          <w:rFonts w:ascii="宋体" w:hAnsi="宋体" w:cs="宋体"/>
          <w:color w:val="121212"/>
          <w:sz w:val="24"/>
          <w:szCs w:val="22"/>
        </w:rPr>
        <w:t>交响乐发展史、乐团史及珍贵档案等。</w:t>
      </w:r>
    </w:p>
    <w:p w14:paraId="4B4D34DD">
      <w:pPr>
        <w:spacing w:line="400" w:lineRule="exact"/>
        <w:ind w:firstLine="480"/>
        <w:contextualSpacing/>
        <w:rPr>
          <w:rFonts w:ascii="宋体" w:hAnsi="宋体" w:cs="宋体"/>
          <w:color w:val="121212"/>
          <w:sz w:val="24"/>
          <w:szCs w:val="22"/>
        </w:rPr>
      </w:pPr>
      <w:r>
        <w:rPr>
          <w:rFonts w:ascii="宋体" w:hAnsi="宋体" w:cs="宋体"/>
          <w:color w:val="121212"/>
          <w:sz w:val="24"/>
          <w:szCs w:val="22"/>
        </w:rPr>
        <w:t>创意楼二层为</w:t>
      </w:r>
      <w:r>
        <w:rPr>
          <w:rFonts w:hint="eastAsia" w:ascii="宋体" w:hAnsi="宋体" w:cs="宋体"/>
          <w:color w:val="121212"/>
          <w:sz w:val="24"/>
          <w:szCs w:val="22"/>
        </w:rPr>
        <w:t>青少年艺术交流中心，设有声部排练室、琴房培训室、音乐图书阅览室及配套用房。青少年艺术交流中心将结合乐团自身的优势，与周边学校建立艺术合作，打造台湖美育基地，做好“大手拉小手”的品牌活动，从青少年开始进行音乐艺术培养，我们还会组织各种形式的大师班、夏令营、公益讲座、比赛，为北京的交响乐人才梯队建设构建一个完整的交响乐演艺生态群。</w:t>
      </w:r>
    </w:p>
    <w:p w14:paraId="0B90E5DF">
      <w:pPr>
        <w:spacing w:line="400" w:lineRule="exact"/>
        <w:ind w:firstLine="480"/>
        <w:contextualSpacing/>
        <w:rPr>
          <w:rFonts w:ascii="宋体" w:hAnsi="宋体" w:cs="宋体"/>
          <w:color w:val="121212"/>
          <w:sz w:val="24"/>
          <w:szCs w:val="22"/>
        </w:rPr>
      </w:pPr>
      <w:r>
        <w:rPr>
          <w:rFonts w:ascii="宋体" w:hAnsi="宋体" w:cs="宋体"/>
          <w:color w:val="121212"/>
          <w:sz w:val="24"/>
          <w:szCs w:val="22"/>
        </w:rPr>
        <w:t>创意楼三层为</w:t>
      </w:r>
      <w:r>
        <w:rPr>
          <w:rFonts w:hint="eastAsia" w:ascii="宋体" w:hAnsi="宋体" w:cs="宋体"/>
          <w:color w:val="121212"/>
          <w:sz w:val="24"/>
          <w:szCs w:val="22"/>
        </w:rPr>
        <w:t>主要用于行政、业务管理及市场运营等办公，设有乐团全体行政人员的办公室、会议室、档案室、业务资料室和行政库房等。</w:t>
      </w:r>
    </w:p>
    <w:p w14:paraId="56DF7A9B">
      <w:pPr>
        <w:spacing w:line="400" w:lineRule="exact"/>
        <w:ind w:firstLine="480"/>
        <w:contextualSpacing/>
        <w:rPr>
          <w:rFonts w:ascii="宋体" w:hAnsi="宋体" w:cs="宋体"/>
          <w:color w:val="121212"/>
          <w:sz w:val="24"/>
          <w:szCs w:val="22"/>
        </w:rPr>
      </w:pPr>
      <w:r>
        <w:rPr>
          <w:rFonts w:ascii="宋体" w:hAnsi="宋体" w:cs="宋体"/>
          <w:color w:val="121212"/>
          <w:sz w:val="24"/>
          <w:szCs w:val="22"/>
        </w:rPr>
        <w:t>创意楼四层为乐团各声部排练及音乐家创作区域，</w:t>
      </w:r>
      <w:r>
        <w:rPr>
          <w:rFonts w:hint="eastAsia" w:ascii="宋体" w:hAnsi="宋体" w:cs="宋体"/>
          <w:color w:val="121212"/>
          <w:sz w:val="24"/>
          <w:szCs w:val="22"/>
        </w:rPr>
        <w:t>设有声部排练室及音乐家工作室，满足乐团分声部排练和音乐家练习、讲座、培训以及音乐创作，利于提升乐团的演奏水平和行业地位，有利于促进乐团更好地承担首都文化建设的社会责任，发挥音乐家的社会影响力。</w:t>
      </w:r>
    </w:p>
    <w:p w14:paraId="31A8777F">
      <w:pPr>
        <w:spacing w:line="400" w:lineRule="exact"/>
        <w:ind w:firstLine="480" w:firstLineChars="200"/>
        <w:contextualSpacing/>
        <w:rPr>
          <w:rFonts w:ascii="宋体" w:hAnsi="宋体" w:cs="宋体"/>
          <w:color w:val="121212"/>
          <w:sz w:val="24"/>
          <w:szCs w:val="22"/>
        </w:rPr>
      </w:pPr>
      <w:r>
        <w:rPr>
          <w:rFonts w:ascii="宋体" w:hAnsi="宋体" w:cs="宋体"/>
          <w:color w:val="121212"/>
          <w:sz w:val="24"/>
          <w:szCs w:val="22"/>
        </w:rPr>
        <w:t>创意楼五层为艺术生产区域，设有综合排练厅、乐队办公室、谱务室、乐器库房及指挥休息室等。</w:t>
      </w:r>
      <w:r>
        <w:rPr>
          <w:rFonts w:hint="eastAsia" w:ascii="宋体" w:hAnsi="宋体" w:cs="宋体"/>
          <w:color w:val="121212"/>
          <w:sz w:val="24"/>
          <w:szCs w:val="22"/>
        </w:rPr>
        <w:t>日常排练可定期为听众开放，以展示交响乐艺术生产的过程。年排练20</w:t>
      </w:r>
      <w:r>
        <w:rPr>
          <w:rFonts w:ascii="宋体" w:hAnsi="宋体" w:cs="宋体"/>
          <w:color w:val="121212"/>
          <w:sz w:val="24"/>
          <w:szCs w:val="22"/>
        </w:rPr>
        <w:t>0余</w:t>
      </w:r>
      <w:r>
        <w:rPr>
          <w:rFonts w:hint="eastAsia" w:ascii="宋体" w:hAnsi="宋体" w:cs="宋体"/>
          <w:color w:val="121212"/>
          <w:sz w:val="24"/>
          <w:szCs w:val="22"/>
        </w:rPr>
        <w:t>场，可保障乐团每年1</w:t>
      </w:r>
      <w:r>
        <w:rPr>
          <w:rFonts w:ascii="宋体" w:hAnsi="宋体" w:cs="宋体"/>
          <w:color w:val="121212"/>
          <w:sz w:val="24"/>
          <w:szCs w:val="22"/>
        </w:rPr>
        <w:t>40余</w:t>
      </w:r>
      <w:r>
        <w:rPr>
          <w:rFonts w:hint="eastAsia" w:ascii="宋体" w:hAnsi="宋体" w:cs="宋体"/>
          <w:color w:val="121212"/>
          <w:sz w:val="24"/>
          <w:szCs w:val="22"/>
        </w:rPr>
        <w:t>场的市场演出。</w:t>
      </w:r>
    </w:p>
    <w:p w14:paraId="0D07A15E">
      <w:pPr>
        <w:spacing w:line="360" w:lineRule="auto"/>
        <w:rPr>
          <w:rFonts w:ascii="宋体" w:hAnsi="宋体" w:cs="宋体"/>
          <w:b/>
          <w:color w:val="121212"/>
          <w:sz w:val="24"/>
          <w:szCs w:val="22"/>
        </w:rPr>
      </w:pPr>
      <w:r>
        <w:rPr>
          <w:rFonts w:ascii="宋体" w:hAnsi="宋体" w:cs="宋体"/>
          <w:b/>
          <w:color w:val="121212"/>
          <w:sz w:val="24"/>
          <w:szCs w:val="22"/>
        </w:rPr>
        <w:t>二、商务要求</w:t>
      </w:r>
    </w:p>
    <w:p w14:paraId="43F5E8DD">
      <w:pPr>
        <w:spacing w:line="400" w:lineRule="exact"/>
        <w:contextualSpacing/>
        <w:rPr>
          <w:rFonts w:ascii="宋体" w:hAnsi="宋体" w:cs="宋体"/>
          <w:color w:val="121212"/>
          <w:sz w:val="24"/>
          <w:szCs w:val="22"/>
        </w:rPr>
      </w:pPr>
      <w:r>
        <w:rPr>
          <w:rFonts w:hint="eastAsia" w:ascii="宋体" w:hAnsi="宋体" w:cs="宋体"/>
          <w:color w:val="121212"/>
          <w:sz w:val="24"/>
          <w:szCs w:val="22"/>
        </w:rPr>
        <w:t>1.实施时间和地点：</w:t>
      </w:r>
      <w:r>
        <w:rPr>
          <w:rFonts w:hint="eastAsia"/>
          <w:sz w:val="24"/>
        </w:rPr>
        <w:t>自合同签订之日起到2026年12月31日止</w:t>
      </w:r>
      <w:r>
        <w:rPr>
          <w:rFonts w:hint="eastAsia" w:ascii="宋体" w:hAnsi="宋体" w:cs="宋体"/>
          <w:color w:val="121212"/>
          <w:sz w:val="24"/>
          <w:szCs w:val="22"/>
        </w:rPr>
        <w:t>。</w:t>
      </w:r>
    </w:p>
    <w:p w14:paraId="661BAB25">
      <w:pPr>
        <w:spacing w:line="400" w:lineRule="exact"/>
        <w:contextualSpacing/>
        <w:rPr>
          <w:rFonts w:hint="eastAsia" w:ascii="宋体" w:hAnsi="宋体" w:cs="宋体"/>
          <w:b/>
          <w:color w:val="121212"/>
          <w:sz w:val="24"/>
          <w:szCs w:val="22"/>
        </w:rPr>
      </w:pPr>
      <w:r>
        <w:rPr>
          <w:rFonts w:hint="eastAsia" w:ascii="宋体" w:hAnsi="宋体" w:cs="宋体"/>
          <w:color w:val="121212"/>
          <w:sz w:val="24"/>
          <w:szCs w:val="22"/>
        </w:rPr>
        <w:t>服务地点为：北京市通州区台湖镇胡家垡村甲9号院3号楼。</w:t>
      </w:r>
    </w:p>
    <w:p w14:paraId="75EE0AF7">
      <w:pPr>
        <w:spacing w:line="400" w:lineRule="exact"/>
        <w:contextualSpacing/>
        <w:rPr>
          <w:rFonts w:ascii="宋体" w:hAnsi="宋体" w:cs="宋体"/>
          <w:color w:val="121212"/>
          <w:sz w:val="24"/>
          <w:szCs w:val="22"/>
        </w:rPr>
      </w:pPr>
      <w:r>
        <w:rPr>
          <w:rFonts w:ascii="宋体" w:hAnsi="宋体" w:cs="宋体"/>
          <w:color w:val="121212"/>
          <w:sz w:val="24"/>
          <w:szCs w:val="22"/>
        </w:rPr>
        <w:t>2. 付款条件（进度和方式）</w:t>
      </w:r>
    </w:p>
    <w:p w14:paraId="1B0C4303">
      <w:pPr>
        <w:spacing w:line="400" w:lineRule="exact"/>
        <w:contextualSpacing/>
        <w:rPr>
          <w:rFonts w:hint="eastAsia" w:ascii="宋体" w:hAnsi="宋体" w:cs="宋体"/>
          <w:b/>
          <w:color w:val="121212"/>
          <w:sz w:val="24"/>
          <w:szCs w:val="22"/>
        </w:rPr>
      </w:pPr>
      <w:r>
        <w:rPr>
          <w:rFonts w:hint="eastAsia" w:ascii="宋体" w:hAnsi="宋体" w:cs="宋体"/>
          <w:color w:val="121212"/>
          <w:sz w:val="24"/>
          <w:szCs w:val="22"/>
        </w:rPr>
        <w:t>合同签订且</w:t>
      </w:r>
      <w:r>
        <w:rPr>
          <w:rFonts w:hint="eastAsia" w:ascii="宋体" w:hAnsi="宋体" w:cs="宋体"/>
          <w:color w:val="121212"/>
          <w:sz w:val="24"/>
          <w:szCs w:val="22"/>
          <w:highlight w:val="none"/>
        </w:rPr>
        <w:t>中标人支付履约保证金（若有）后，且本项目财政资金到账后7个工作日采购</w:t>
      </w:r>
      <w:r>
        <w:rPr>
          <w:rFonts w:ascii="宋体" w:hAnsi="宋体" w:cs="宋体"/>
          <w:color w:val="121212"/>
          <w:sz w:val="24"/>
          <w:szCs w:val="22"/>
          <w:highlight w:val="none"/>
        </w:rPr>
        <w:t>人</w:t>
      </w:r>
      <w:r>
        <w:rPr>
          <w:rFonts w:hint="eastAsia" w:ascii="宋体" w:hAnsi="宋体" w:cs="宋体"/>
          <w:color w:val="121212"/>
          <w:sz w:val="24"/>
          <w:szCs w:val="22"/>
          <w:highlight w:val="none"/>
        </w:rPr>
        <w:t>向中标</w:t>
      </w:r>
      <w:r>
        <w:rPr>
          <w:rFonts w:ascii="宋体" w:hAnsi="宋体" w:cs="宋体"/>
          <w:color w:val="121212"/>
          <w:sz w:val="24"/>
          <w:szCs w:val="22"/>
          <w:highlight w:val="none"/>
        </w:rPr>
        <w:t>人</w:t>
      </w:r>
      <w:r>
        <w:rPr>
          <w:rFonts w:hint="eastAsia" w:ascii="宋体" w:hAnsi="宋体" w:cs="宋体"/>
          <w:color w:val="121212"/>
          <w:sz w:val="24"/>
          <w:szCs w:val="22"/>
          <w:highlight w:val="none"/>
        </w:rPr>
        <w:t>支付合同首款，即全</w:t>
      </w:r>
      <w:r>
        <w:rPr>
          <w:rFonts w:hint="eastAsia" w:ascii="宋体" w:hAnsi="宋体" w:cs="宋体"/>
          <w:color w:val="121212"/>
          <w:sz w:val="24"/>
          <w:szCs w:val="22"/>
        </w:rPr>
        <w:t>部额度的5</w:t>
      </w:r>
      <w:r>
        <w:rPr>
          <w:rFonts w:ascii="宋体" w:hAnsi="宋体" w:cs="宋体"/>
          <w:color w:val="121212"/>
          <w:sz w:val="24"/>
          <w:szCs w:val="22"/>
        </w:rPr>
        <w:t>0%</w:t>
      </w:r>
      <w:r>
        <w:rPr>
          <w:rFonts w:hint="eastAsia" w:ascii="宋体" w:hAnsi="宋体" w:cs="宋体"/>
          <w:color w:val="121212"/>
          <w:sz w:val="24"/>
          <w:szCs w:val="22"/>
        </w:rPr>
        <w:t>；中</w:t>
      </w:r>
      <w:r>
        <w:rPr>
          <w:rFonts w:ascii="宋体" w:hAnsi="宋体" w:cs="宋体"/>
          <w:color w:val="121212"/>
          <w:sz w:val="24"/>
          <w:szCs w:val="22"/>
        </w:rPr>
        <w:t>标人</w:t>
      </w:r>
      <w:r>
        <w:rPr>
          <w:rFonts w:hint="eastAsia" w:ascii="宋体" w:hAnsi="宋体" w:cs="宋体"/>
          <w:color w:val="121212"/>
          <w:sz w:val="24"/>
          <w:szCs w:val="22"/>
        </w:rPr>
        <w:t>成本合同项下的服务，向采购人交付服务成果，经采购人验收合格，运行到2</w:t>
      </w:r>
      <w:r>
        <w:rPr>
          <w:rFonts w:ascii="宋体" w:hAnsi="宋体" w:cs="宋体"/>
          <w:color w:val="121212"/>
          <w:sz w:val="24"/>
          <w:szCs w:val="22"/>
        </w:rPr>
        <w:t>026年11月</w:t>
      </w:r>
      <w:r>
        <w:rPr>
          <w:rFonts w:hint="eastAsia" w:ascii="宋体" w:hAnsi="宋体" w:cs="宋体"/>
          <w:color w:val="121212"/>
          <w:sz w:val="24"/>
          <w:szCs w:val="22"/>
        </w:rPr>
        <w:t>后无故障，付清支付合同全部余款，即全额度的5</w:t>
      </w:r>
      <w:r>
        <w:rPr>
          <w:rFonts w:ascii="宋体" w:hAnsi="宋体" w:cs="宋体"/>
          <w:color w:val="121212"/>
          <w:sz w:val="24"/>
          <w:szCs w:val="22"/>
        </w:rPr>
        <w:t>0%</w:t>
      </w:r>
      <w:r>
        <w:rPr>
          <w:rFonts w:hint="eastAsia" w:ascii="宋体" w:hAnsi="宋体" w:cs="宋体"/>
          <w:color w:val="121212"/>
          <w:sz w:val="24"/>
          <w:szCs w:val="22"/>
        </w:rPr>
        <w:t>。</w:t>
      </w:r>
    </w:p>
    <w:p w14:paraId="5CAD0619">
      <w:pPr>
        <w:spacing w:line="360" w:lineRule="auto"/>
        <w:rPr>
          <w:rFonts w:ascii="宋体" w:hAnsi="宋体" w:cs="宋体"/>
          <w:b/>
          <w:color w:val="121212"/>
          <w:sz w:val="24"/>
          <w:szCs w:val="22"/>
        </w:rPr>
      </w:pPr>
      <w:r>
        <w:rPr>
          <w:rFonts w:hint="eastAsia" w:ascii="宋体" w:hAnsi="宋体" w:cs="宋体"/>
          <w:b/>
          <w:color w:val="121212"/>
          <w:sz w:val="24"/>
          <w:szCs w:val="22"/>
        </w:rPr>
        <w:t>三、服务管理范围及内容</w:t>
      </w:r>
    </w:p>
    <w:p w14:paraId="25DF6857">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（一）房屋建筑主体及场地日常维护保养</w:t>
      </w:r>
    </w:p>
    <w:p w14:paraId="791A4DC5">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（二）设备设施日常运行管理及维护</w:t>
      </w:r>
    </w:p>
    <w:p w14:paraId="6C98ED4E">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1.给水排水系统日常运行管理及维护。</w:t>
      </w:r>
    </w:p>
    <w:p w14:paraId="4CE7EC48">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2.中央空调系统日常运行管理及维护。</w:t>
      </w:r>
    </w:p>
    <w:p w14:paraId="1D98C938">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3.采暖系统日常运行管理及维护。</w:t>
      </w:r>
    </w:p>
    <w:p w14:paraId="3BD40180">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4.送排风系统日常运行管理及维护。</w:t>
      </w:r>
    </w:p>
    <w:p w14:paraId="33101E9B">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5.变配电系统及供电和照明系统日常运行管理及维护。</w:t>
      </w:r>
    </w:p>
    <w:p w14:paraId="3F013A88">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6.安防系统日常运行管理及维护。</w:t>
      </w:r>
    </w:p>
    <w:p w14:paraId="27BB4ED9">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7.消防系统日常运行管理。</w:t>
      </w:r>
    </w:p>
    <w:p w14:paraId="278F7627">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8.电梯设备日常运行管理。</w:t>
      </w:r>
    </w:p>
    <w:p w14:paraId="681A741C">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9.完成甲方核准的设备更新、改造计划。</w:t>
      </w:r>
    </w:p>
    <w:p w14:paraId="21935539">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10.监督、配合其他维保维修单位做好设备维保维修工作。</w:t>
      </w:r>
    </w:p>
    <w:p w14:paraId="2B921228">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11.监督、配合相关单位在乐团内的施工及改造工作。</w:t>
      </w:r>
    </w:p>
    <w:p w14:paraId="79EA9DF6">
      <w:pPr>
        <w:spacing w:line="440" w:lineRule="exact"/>
        <w:contextualSpacing/>
        <w:rPr>
          <w:rFonts w:ascii="宋体" w:hAnsi="宋体" w:cs="宋体"/>
          <w:color w:val="121212"/>
          <w:sz w:val="24"/>
          <w:szCs w:val="22"/>
        </w:rPr>
      </w:pPr>
      <w:r>
        <w:rPr>
          <w:rFonts w:hint="eastAsia" w:ascii="宋体" w:hAnsi="宋体" w:cs="宋体"/>
          <w:color w:val="121212"/>
          <w:sz w:val="24"/>
          <w:szCs w:val="22"/>
        </w:rPr>
        <w:t xml:space="preserve">    （三）智能化管理系统（BIM智能化平台系统）日常运行管理及维护。</w:t>
      </w:r>
    </w:p>
    <w:p w14:paraId="1E18C2A4">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（四）网络电话通信服务。</w:t>
      </w:r>
    </w:p>
    <w:p w14:paraId="7F8283F1">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（五）能源监控管控系统。</w:t>
      </w:r>
    </w:p>
    <w:p w14:paraId="0D46D2BD">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（六）其它。</w:t>
      </w:r>
    </w:p>
    <w:p w14:paraId="637445F5">
      <w:pPr>
        <w:spacing w:line="440" w:lineRule="exact"/>
        <w:contextualSpacing/>
        <w:rPr>
          <w:rFonts w:ascii="宋体" w:hAnsi="宋体" w:cs="宋体"/>
          <w:b/>
          <w:color w:val="121212"/>
          <w:sz w:val="24"/>
          <w:szCs w:val="22"/>
        </w:rPr>
      </w:pPr>
      <w:r>
        <w:rPr>
          <w:rFonts w:hint="eastAsia" w:ascii="宋体" w:hAnsi="宋体" w:cs="宋体"/>
          <w:b/>
          <w:color w:val="121212"/>
          <w:sz w:val="24"/>
          <w:szCs w:val="22"/>
        </w:rPr>
        <w:t>四、主要设备设施情况</w:t>
      </w:r>
    </w:p>
    <w:p w14:paraId="29E779E5">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(一)给排水系统</w:t>
      </w:r>
    </w:p>
    <w:p w14:paraId="0C0133CA">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1.给水系统：一层由基地引入的市政给水管直接供给，二层及以上区域由生活水泵房的变频给水泵加压后直接供给，给水为下行上给式，泵房设生活水箱。</w:t>
      </w:r>
    </w:p>
    <w:p w14:paraId="06E98A44">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2.中水系统：一层由基地引入的市政中水管直接供给，二层及以上区域由中水泵房的变频中水泵加压后直接供给，供水为下行上给式。泵房设中水水箱。</w:t>
      </w:r>
    </w:p>
    <w:p w14:paraId="650F140E">
      <w:pPr>
        <w:spacing w:line="400" w:lineRule="exact"/>
        <w:ind w:firstLine="480" w:firstLineChars="200"/>
        <w:contextualSpacing/>
        <w:jc w:val="left"/>
        <w:rPr>
          <w:rFonts w:ascii="宋体" w:hAnsi="宋体" w:cs="宋体"/>
          <w:color w:val="121212"/>
          <w:sz w:val="24"/>
          <w:szCs w:val="22"/>
        </w:rPr>
      </w:pPr>
      <w:r>
        <w:rPr>
          <w:rFonts w:ascii="宋体" w:hAnsi="宋体" w:cs="宋体"/>
          <w:color w:val="121212"/>
          <w:sz w:val="24"/>
          <w:szCs w:val="22"/>
        </w:rPr>
        <w:t>3</w:t>
      </w:r>
      <w:r>
        <w:rPr>
          <w:rFonts w:hint="eastAsia" w:ascii="宋体" w:hAnsi="宋体" w:cs="宋体"/>
          <w:color w:val="121212"/>
          <w:sz w:val="24"/>
          <w:szCs w:val="22"/>
        </w:rPr>
        <w:t>.饮用开水:在公共部位设全自动电开水器饮水机，供大家饮用。</w:t>
      </w:r>
    </w:p>
    <w:p w14:paraId="24392220">
      <w:pPr>
        <w:spacing w:line="400" w:lineRule="exact"/>
        <w:ind w:firstLine="480" w:firstLineChars="200"/>
        <w:contextualSpacing/>
        <w:jc w:val="left"/>
        <w:rPr>
          <w:rFonts w:ascii="宋体" w:hAnsi="宋体" w:cs="宋体"/>
          <w:color w:val="121212"/>
          <w:sz w:val="24"/>
          <w:szCs w:val="22"/>
        </w:rPr>
      </w:pPr>
      <w:r>
        <w:rPr>
          <w:rFonts w:ascii="宋体" w:hAnsi="宋体" w:cs="宋体"/>
          <w:color w:val="121212"/>
          <w:sz w:val="24"/>
          <w:szCs w:val="22"/>
        </w:rPr>
        <w:t>4</w:t>
      </w:r>
      <w:r>
        <w:rPr>
          <w:rFonts w:hint="eastAsia" w:ascii="宋体" w:hAnsi="宋体" w:cs="宋体"/>
          <w:color w:val="121212"/>
          <w:sz w:val="24"/>
          <w:szCs w:val="22"/>
        </w:rPr>
        <w:t>.排水系统:室内排水采用污、废合流;室外排水采用雨、污水分流的排水方式。屋面雨水均采用虹吸排水系统，屋面雨水收集后，接至室外雨水管网。</w:t>
      </w:r>
    </w:p>
    <w:p w14:paraId="1ADBC250">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 xml:space="preserve"> (二)配电照明系统</w:t>
      </w:r>
    </w:p>
    <w:p w14:paraId="2A8A62A8">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1.本项目由北投集团临时增容的四路10kV电源供电，以电缆埋地方式进入建筑物的一个变配电室。低压侧(0.4kV)采取单母线分段加手动联络方式(预留自动切换功能)，电气加机械联锁，平时分列运行。变配电室有2台1600KVA变压器，变压器低压侧均设置低压电容补偿。</w:t>
      </w:r>
    </w:p>
    <w:p w14:paraId="72C44F7D">
      <w:pPr>
        <w:spacing w:line="400" w:lineRule="exact"/>
        <w:ind w:firstLine="480" w:firstLineChars="200"/>
        <w:contextualSpacing/>
        <w:jc w:val="left"/>
        <w:rPr>
          <w:rFonts w:ascii="宋体" w:hAnsi="宋体" w:cs="宋体"/>
          <w:color w:val="121212"/>
          <w:sz w:val="24"/>
          <w:szCs w:val="22"/>
        </w:rPr>
      </w:pPr>
      <w:r>
        <w:rPr>
          <w:rFonts w:ascii="宋体" w:hAnsi="宋体" w:cs="宋体"/>
          <w:color w:val="121212"/>
          <w:sz w:val="24"/>
          <w:szCs w:val="22"/>
        </w:rPr>
        <w:t>2</w:t>
      </w:r>
      <w:r>
        <w:rPr>
          <w:rFonts w:hint="eastAsia" w:ascii="宋体" w:hAnsi="宋体" w:cs="宋体"/>
          <w:color w:val="121212"/>
          <w:sz w:val="24"/>
          <w:szCs w:val="22"/>
        </w:rPr>
        <w:t>.应急照明和应急疏散指示照明采用应急集中电源，持续供电时间不少于90分钟。安防系统用电、计算机系统用电、重要电信机房用电、火灾自动报警系统等自备UPS不间断电源，其持续供电时间不少于60分钟(火灾自动报警系统UPS不少于180分钟)。</w:t>
      </w:r>
    </w:p>
    <w:p w14:paraId="6DE5053A">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(三)空调采暖系统</w:t>
      </w:r>
    </w:p>
    <w:p w14:paraId="03E9417E">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1.空调系统:空调冷负荷约为8000kW;热负荷(空调及采暖)约为6400kW,由园区共享设施内综合能源站承担，夏季能源站提供的冷水供回水温度5/12℃，通过乐团内换热站板式换热器，置换成6/13℃的冷水供创意楼内空调使用;冬季能源站供热参数52/42℃，通过创意楼内换热站，置换成50/40℃的空调热水及采热热水，解决创意楼冬季热需求。</w:t>
      </w:r>
    </w:p>
    <w:p w14:paraId="2942347B">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2.空调风系统:创意楼公共区域及主通道大空间区域的供冷和供热采用辐射、供热与置换送风相结合的方式。一层设置独立的立式静音空调机组，与全空气变风量空调系统相结合的方式。展厅、前厅等大空间采用全空气定风量系统，全空气系统的空调箱均设置变频器。系统的自控装置将根据测定浓度与设定值的偏差，调节新、回风阀门的开度，在保证室内卫生达标的前提下，最大限度地节省系统处理新风的能耗。办公室及后勤办公等小房间采用风机盘管加新风系统。新风系统设置空气净化式过滤装置，满足室内空气品质及绿建要求。空调系统送、回风管采用机制镀锌钢板内保温成品消声风管。</w:t>
      </w:r>
    </w:p>
    <w:p w14:paraId="1FF79B21">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 xml:space="preserve">3.空调水系统:空调水系统采用两管制系统，冷热水系统合并。水系统竖向采用异程式系统，水平亦采用异程式系统。为使空调水系统各环路的阻力基本保持一致，各环路的回水总管上设置静态平衡阀，各空调机组的回水管上设置电动平衡调节阀。另外，各风机盘管机组的回水管上设置电动双位阀。 </w:t>
      </w:r>
    </w:p>
    <w:p w14:paraId="747C7709">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4.供暖系统:供暖热源采用换热站提供的50/40℃的热水。</w:t>
      </w:r>
    </w:p>
    <w:p w14:paraId="3C1FA83B">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5.通风系统：以标准的新风系统为主。</w:t>
      </w:r>
    </w:p>
    <w:p w14:paraId="7DA32CB3">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 xml:space="preserve">6.设备形式 </w:t>
      </w:r>
    </w:p>
    <w:p w14:paraId="52960031">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①采暖设备：空调采暖。</w:t>
      </w:r>
    </w:p>
    <w:p w14:paraId="717CC1D9">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 xml:space="preserve">②空调设备：多联机、空调机组、新风机组、卧式风机盘管、立式风机盘管、热回收机组、圆柱型岛式空调机组等。 </w:t>
      </w:r>
    </w:p>
    <w:p w14:paraId="4997464F">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 xml:space="preserve">③通风设备：箱式离心风机、混流风机、离心式管道风机。 </w:t>
      </w:r>
    </w:p>
    <w:p w14:paraId="482E52E4">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(四)弱电及智能化系统</w:t>
      </w:r>
    </w:p>
    <w:p w14:paraId="52A3EFF2">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1.安全防范系统:建立安保子系统,系统建立多层次的综合安防防护体系，以视频监控、出入口控制、巡更系统等为主要组成部分，与建筑物的实体防护有机结合，在多媒体计算机及软件的管理下，构成一个智能化程度高，功能设置完善，综合防范能力强的安全防范系统。项目的安防系统包括入侵报警系统、视频安防监控系统、出入口控制系统、电子巡查系统、防爆安全检查系统等组成。</w:t>
      </w:r>
    </w:p>
    <w:p w14:paraId="787A230F">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2.通信系统:引入中国电信、中国联通、中国移动三家通信运营商的通信接入。电话通信系统配置</w:t>
      </w:r>
      <w:r>
        <w:rPr>
          <w:rFonts w:ascii="宋体" w:hAnsi="宋体" w:cs="宋体"/>
          <w:color w:val="121212"/>
          <w:sz w:val="24"/>
          <w:szCs w:val="22"/>
        </w:rPr>
        <w:t>34</w:t>
      </w:r>
      <w:r>
        <w:rPr>
          <w:rFonts w:hint="eastAsia" w:ascii="宋体" w:hAnsi="宋体" w:cs="宋体"/>
          <w:color w:val="121212"/>
          <w:sz w:val="24"/>
          <w:szCs w:val="22"/>
        </w:rPr>
        <w:t>门数字程控电话交换机系统。配置数字无线对讲机专网覆盖系统实现运营保障及维护管理的对讲机通信。建筑内设无线信号覆盖系统,实现5G信号覆盖。</w:t>
      </w:r>
    </w:p>
    <w:p w14:paraId="7CC0B28F">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3.综合布线系统:由内部管理网、公众信息网(含电话系统布线) 、设备智能网组成。</w:t>
      </w:r>
    </w:p>
    <w:p w14:paraId="0EA59894">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4.网络系统:划分为内部管理网、公众信息网、设备网\政务网。</w:t>
      </w:r>
    </w:p>
    <w:p w14:paraId="4613C25D">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5.有线电视系统:利用三网合一采用IPTV系统,以网络系统实现。</w:t>
      </w:r>
    </w:p>
    <w:p w14:paraId="618F78CF">
      <w:pPr>
        <w:spacing w:line="400" w:lineRule="exact"/>
        <w:ind w:firstLine="480" w:firstLineChars="200"/>
        <w:contextualSpacing/>
        <w:jc w:val="left"/>
        <w:rPr>
          <w:rFonts w:ascii="宋体" w:hAnsi="宋体" w:cs="宋体"/>
          <w:color w:val="121212"/>
          <w:sz w:val="24"/>
          <w:szCs w:val="22"/>
        </w:rPr>
      </w:pPr>
      <w:r>
        <w:rPr>
          <w:rFonts w:ascii="宋体" w:hAnsi="宋体" w:cs="宋体"/>
          <w:color w:val="121212"/>
          <w:sz w:val="24"/>
          <w:szCs w:val="22"/>
        </w:rPr>
        <w:t>6</w:t>
      </w:r>
      <w:r>
        <w:rPr>
          <w:rFonts w:hint="eastAsia" w:ascii="宋体" w:hAnsi="宋体" w:cs="宋体"/>
          <w:color w:val="121212"/>
          <w:sz w:val="24"/>
          <w:szCs w:val="22"/>
        </w:rPr>
        <w:t>.多媒体会议系统:包括会议发言系统、专业扩音系统、视频显示系统、智能控制系统。</w:t>
      </w:r>
    </w:p>
    <w:p w14:paraId="2E13BCE7">
      <w:pPr>
        <w:spacing w:line="400" w:lineRule="exact"/>
        <w:ind w:firstLine="480" w:firstLineChars="200"/>
        <w:contextualSpacing/>
        <w:jc w:val="left"/>
        <w:rPr>
          <w:rFonts w:ascii="宋体" w:hAnsi="宋体" w:cs="宋体"/>
          <w:color w:val="121212"/>
          <w:sz w:val="24"/>
          <w:szCs w:val="22"/>
        </w:rPr>
      </w:pPr>
      <w:r>
        <w:rPr>
          <w:rFonts w:ascii="宋体" w:hAnsi="宋体" w:cs="宋体"/>
          <w:color w:val="121212"/>
          <w:sz w:val="24"/>
          <w:szCs w:val="22"/>
        </w:rPr>
        <w:t>7</w:t>
      </w:r>
      <w:r>
        <w:rPr>
          <w:rFonts w:hint="eastAsia" w:ascii="宋体" w:hAnsi="宋体" w:cs="宋体"/>
          <w:color w:val="121212"/>
          <w:sz w:val="24"/>
          <w:szCs w:val="22"/>
        </w:rPr>
        <w:t>.多媒体信息发布显示系统:便于大家参加活动查询互动。</w:t>
      </w:r>
    </w:p>
    <w:p w14:paraId="4BC309C8">
      <w:pPr>
        <w:spacing w:line="400" w:lineRule="exact"/>
        <w:ind w:firstLine="480" w:firstLineChars="200"/>
        <w:contextualSpacing/>
        <w:jc w:val="left"/>
        <w:rPr>
          <w:rFonts w:ascii="宋体" w:hAnsi="宋体" w:cs="宋体"/>
          <w:color w:val="121212"/>
          <w:sz w:val="24"/>
          <w:szCs w:val="22"/>
        </w:rPr>
      </w:pPr>
      <w:r>
        <w:rPr>
          <w:rFonts w:ascii="宋体" w:hAnsi="宋体" w:cs="宋体"/>
          <w:color w:val="121212"/>
          <w:sz w:val="24"/>
          <w:szCs w:val="22"/>
        </w:rPr>
        <w:t>8</w:t>
      </w:r>
      <w:r>
        <w:rPr>
          <w:rFonts w:hint="eastAsia" w:ascii="宋体" w:hAnsi="宋体" w:cs="宋体"/>
          <w:color w:val="121212"/>
          <w:sz w:val="24"/>
          <w:szCs w:val="22"/>
        </w:rPr>
        <w:t>.集成管理系统:加强物业管理对弱电各系统的检查和控制管理。</w:t>
      </w:r>
    </w:p>
    <w:p w14:paraId="79F051A9">
      <w:pPr>
        <w:spacing w:line="400" w:lineRule="exact"/>
        <w:ind w:firstLine="480" w:firstLineChars="200"/>
        <w:contextualSpacing/>
        <w:jc w:val="left"/>
        <w:rPr>
          <w:rFonts w:ascii="宋体" w:hAnsi="宋体" w:cs="宋体"/>
          <w:color w:val="121212"/>
          <w:sz w:val="24"/>
          <w:szCs w:val="22"/>
        </w:rPr>
      </w:pPr>
      <w:r>
        <w:rPr>
          <w:rFonts w:ascii="宋体" w:hAnsi="宋体" w:cs="宋体"/>
          <w:color w:val="121212"/>
          <w:sz w:val="24"/>
          <w:szCs w:val="22"/>
        </w:rPr>
        <w:t>9</w:t>
      </w:r>
      <w:r>
        <w:rPr>
          <w:rFonts w:hint="eastAsia" w:ascii="宋体" w:hAnsi="宋体" w:cs="宋体"/>
          <w:color w:val="121212"/>
          <w:sz w:val="24"/>
          <w:szCs w:val="22"/>
        </w:rPr>
        <w:t>.机房工程:包括消防安保中心、网络机房和各弱电间。</w:t>
      </w:r>
    </w:p>
    <w:p w14:paraId="5639F50B">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0</w:t>
      </w:r>
      <w:r>
        <w:rPr>
          <w:rFonts w:hint="eastAsia" w:ascii="宋体" w:hAnsi="宋体" w:cs="宋体"/>
          <w:color w:val="121212"/>
          <w:sz w:val="24"/>
          <w:szCs w:val="22"/>
        </w:rPr>
        <w:t>.建筑设备智能管理系统(BAS):对建筑物内各种空调、给排水机电设备进行监视、控制、测量，并对智能照明控制系统、变配电系统、电能质量管理系统、能耗监测系统和电梯群控系统等进行整合。</w:t>
      </w:r>
    </w:p>
    <w:p w14:paraId="5AECAC5B">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1</w:t>
      </w:r>
      <w:r>
        <w:rPr>
          <w:rFonts w:hint="eastAsia" w:ascii="宋体" w:hAnsi="宋体" w:cs="宋体"/>
          <w:color w:val="121212"/>
          <w:sz w:val="24"/>
          <w:szCs w:val="22"/>
        </w:rPr>
        <w:t>.停车场管理系统：目前以报车号和规定区域停放。</w:t>
      </w:r>
    </w:p>
    <w:p w14:paraId="6E28362E">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(五)消防系统</w:t>
      </w:r>
      <w:r>
        <w:rPr>
          <w:rFonts w:ascii="宋体" w:hAnsi="宋体" w:cs="宋体"/>
          <w:color w:val="121212"/>
          <w:sz w:val="24"/>
          <w:szCs w:val="22"/>
        </w:rPr>
        <w:t>：</w:t>
      </w:r>
      <w:r>
        <w:rPr>
          <w:rFonts w:hint="eastAsia" w:ascii="宋体" w:hAnsi="宋体" w:cs="宋体"/>
          <w:color w:val="121212"/>
          <w:sz w:val="24"/>
          <w:szCs w:val="22"/>
        </w:rPr>
        <w:t>消火栓系统、自动喷水灭火系统、防火分隔系统、灭火器火灾报警及消防联动系统、防火门监控系统、电气火灾监控系统、消防电源监控系统、应急照明和智能应急疏散指示照明系统、排烟系统等。</w:t>
      </w:r>
    </w:p>
    <w:p w14:paraId="2A452A22">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(六)电梯设备两部直梯（一部为客梯，一部为货梯）。</w:t>
      </w:r>
    </w:p>
    <w:p w14:paraId="216C6D16">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(七)阅览、展览、办公等家具设备。</w:t>
      </w:r>
    </w:p>
    <w:p w14:paraId="5D0823D1">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(八)门窗五金，电动工具，仪器仪表。</w:t>
      </w:r>
    </w:p>
    <w:p w14:paraId="6FD0A4C9">
      <w:pPr>
        <w:spacing w:line="40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(九)其它。</w:t>
      </w:r>
    </w:p>
    <w:p w14:paraId="6F84E85D">
      <w:pPr>
        <w:spacing w:line="440" w:lineRule="exact"/>
        <w:contextualSpacing/>
        <w:rPr>
          <w:rFonts w:ascii="宋体" w:hAnsi="宋体" w:cs="宋体"/>
          <w:b/>
          <w:color w:val="121212"/>
          <w:sz w:val="24"/>
          <w:szCs w:val="22"/>
        </w:rPr>
      </w:pPr>
      <w:r>
        <w:rPr>
          <w:rFonts w:hint="eastAsia" w:ascii="宋体" w:hAnsi="宋体" w:cs="宋体"/>
          <w:b/>
          <w:color w:val="121212"/>
          <w:sz w:val="24"/>
          <w:szCs w:val="22"/>
        </w:rPr>
        <w:t>五、服务要求和管理目标</w:t>
      </w:r>
    </w:p>
    <w:p w14:paraId="38F698C3">
      <w:pPr>
        <w:spacing w:line="44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（一）物业运行要求</w:t>
      </w:r>
    </w:p>
    <w:p w14:paraId="16CF0D63">
      <w:pPr>
        <w:spacing w:line="440" w:lineRule="exact"/>
        <w:ind w:firstLine="480" w:firstLineChars="200"/>
        <w:contextualSpacing/>
        <w:jc w:val="left"/>
        <w:rPr>
          <w:rFonts w:ascii="宋体" w:hAnsi="宋体" w:cs="宋体"/>
          <w:color w:val="121212"/>
          <w:sz w:val="24"/>
          <w:szCs w:val="22"/>
        </w:rPr>
      </w:pPr>
      <w:r>
        <w:rPr>
          <w:rFonts w:hint="eastAsia" w:ascii="宋体" w:hAnsi="宋体" w:cs="宋体"/>
          <w:color w:val="121212"/>
          <w:sz w:val="24"/>
          <w:szCs w:val="22"/>
        </w:rPr>
        <w:t>结合采购单位实际需求，严格按照国家有关政策法规，在从业资格、管理资质许可范围内，实行高标准、高质量目标管理。所有上岗人员必须具备国家承认的相应的从业资格持证上岗。</w:t>
      </w:r>
    </w:p>
    <w:p w14:paraId="127A22D8">
      <w:pPr>
        <w:spacing w:line="440" w:lineRule="exact"/>
        <w:ind w:left="921" w:leftChars="267" w:hanging="360" w:hangingChars="150"/>
        <w:contextualSpacing/>
        <w:rPr>
          <w:rFonts w:ascii="宋体" w:hAnsi="宋体" w:cs="宋体"/>
          <w:color w:val="121212"/>
          <w:sz w:val="24"/>
          <w:szCs w:val="22"/>
        </w:rPr>
      </w:pPr>
      <w:r>
        <w:rPr>
          <w:rFonts w:hint="eastAsia" w:ascii="宋体" w:hAnsi="宋体" w:cs="宋体"/>
          <w:color w:val="121212"/>
          <w:sz w:val="24"/>
          <w:szCs w:val="22"/>
        </w:rPr>
        <w:t>房屋建筑及设备设施、场地日常运行管理及维护质量要求：</w:t>
      </w:r>
    </w:p>
    <w:p w14:paraId="0EFF23E6">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1.各项管理制度、组织工作细致严密，贯彻执行一丝不苟，做到操作有章可循，管理有法可依，时刻将安全管理放在首位。</w:t>
      </w:r>
    </w:p>
    <w:p w14:paraId="5AD9CDF1">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2.工作人员统一着装挂牌上岗，文明礼貌，不与读者发生争执。爱护工具设备，节约材料。</w:t>
      </w:r>
    </w:p>
    <w:p w14:paraId="7BA91B18">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3.做到工作有计划，过程有检查，结果有验收。如实填写各项记录。</w:t>
      </w:r>
    </w:p>
    <w:p w14:paraId="79A45102">
      <w:pPr>
        <w:spacing w:line="440" w:lineRule="exact"/>
        <w:contextualSpacing/>
        <w:rPr>
          <w:rFonts w:ascii="宋体" w:hAnsi="宋体" w:cs="宋体"/>
          <w:color w:val="121212"/>
          <w:sz w:val="24"/>
          <w:szCs w:val="22"/>
        </w:rPr>
      </w:pPr>
      <w:r>
        <w:rPr>
          <w:rFonts w:hint="eastAsia" w:ascii="宋体" w:hAnsi="宋体" w:cs="宋体"/>
          <w:color w:val="121212"/>
          <w:sz w:val="24"/>
          <w:szCs w:val="22"/>
        </w:rPr>
        <w:t xml:space="preserve">    4.做到检修计划性，保养经常性，处理问题及时彻底，不留隐患。</w:t>
      </w:r>
    </w:p>
    <w:p w14:paraId="26408547">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5.每年4月和10月规定为设备换季检修时间。要做好相关系统及各种机械设备和电气设备不同级别的清洁、保养和检修工作。空气处理机组和风机盘管过滤网清洗、消毒及更换（特殊时期按相关文件精神执行），轴承、皮带、动静密封材料、过滤材料、接触元件等易损、易污部位要认真检查，及时润滑清理或更换。对强弱电竖井、各配电柜、开关柜、监控设备要定期巡视和除尘保养。定期对供电系统进行清扫、紧固、检修确保供电系统及用电设备使用安全。</w:t>
      </w:r>
    </w:p>
    <w:p w14:paraId="427E00CC">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6.上下水管道、阀门、泵、箱、槽、罐等所有液体输送、储存、热交换设备均无堵塞、结垢和跑冒滴漏现象，包括空调冷凝水。</w:t>
      </w:r>
    </w:p>
    <w:p w14:paraId="56992C8F">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7.配合完成并通过每年定期的对电梯系统、消防系统、空调系统、变配电系统、仪器仪表、燃气、水质等专项安检工作。</w:t>
      </w:r>
    </w:p>
    <w:p w14:paraId="635DBF9C">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8.中控室、变配电室要求24小时不间断专人职守，严格落实相关规章制度，运行记录数据真实完整，发现异常及时按照预案处理。</w:t>
      </w:r>
    </w:p>
    <w:p w14:paraId="35F7747C">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9.制定供电、供气、供水、消防、电梯等关键部位的紧急情况处置预案和建立相应的行动组织机构。</w:t>
      </w:r>
    </w:p>
    <w:p w14:paraId="2D25D900">
      <w:pPr>
        <w:spacing w:line="440" w:lineRule="exact"/>
        <w:contextualSpacing/>
        <w:rPr>
          <w:rFonts w:ascii="宋体" w:hAnsi="宋体" w:cs="宋体"/>
          <w:color w:val="121212"/>
          <w:sz w:val="24"/>
          <w:szCs w:val="22"/>
        </w:rPr>
      </w:pPr>
      <w:r>
        <w:rPr>
          <w:rFonts w:hint="eastAsia" w:ascii="宋体" w:hAnsi="宋体" w:cs="宋体"/>
          <w:color w:val="121212"/>
          <w:sz w:val="24"/>
          <w:szCs w:val="22"/>
        </w:rPr>
        <w:t xml:space="preserve">    10.配合采购单位完成关键部位测量仪器仪表的年度校验工作。做好校验记录。</w:t>
      </w:r>
    </w:p>
    <w:p w14:paraId="48908FCD">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11.中央空调的运行要符合中华人民共和国卫生部制订的《公共场所集中空调通风系统卫生规范》。</w:t>
      </w:r>
    </w:p>
    <w:p w14:paraId="369DC148">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12. 负责网络电话系统的运行维护工作，确保系统的正常工作，满足日常使用需求。按甲方需要及时调配网络、电话，定期对网络设备、电话通讯设备检测，确保正常使用。</w:t>
      </w:r>
    </w:p>
    <w:p w14:paraId="735525DD">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13．日常巡检与部门报修相结合，工作流程规范化，全面落实日常巡视检查工作，有详实记录。照明、门、窗、五金、地面、墙面、顶棚、办公家具、电器、卫生洁具、饮水装置等维修工作做到随叫随到，及时完成，定期回访。</w:t>
      </w:r>
    </w:p>
    <w:p w14:paraId="2CFA3237">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14.动力设备系统运行完好率达到100%，消防系统的设备运行完好率要达到100%。</w:t>
      </w:r>
    </w:p>
    <w:p w14:paraId="32933F1B">
      <w:pPr>
        <w:spacing w:line="440" w:lineRule="exact"/>
        <w:contextualSpacing/>
        <w:rPr>
          <w:rFonts w:ascii="宋体" w:hAnsi="宋体" w:cs="宋体"/>
          <w:color w:val="121212"/>
          <w:sz w:val="24"/>
          <w:szCs w:val="22"/>
        </w:rPr>
      </w:pPr>
      <w:r>
        <w:rPr>
          <w:rFonts w:hint="eastAsia" w:ascii="宋体" w:hAnsi="宋体" w:cs="宋体"/>
          <w:color w:val="121212"/>
          <w:sz w:val="24"/>
          <w:szCs w:val="22"/>
        </w:rPr>
        <w:t xml:space="preserve">    15.建立设备台帐，保存好设备运行、检修和交接班记录。</w:t>
      </w:r>
    </w:p>
    <w:p w14:paraId="56511DF0">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16.设备间（层）、操作间、办公室环境整洁卫生达标。设备设施无油污无水渍。电器设备无积尘。</w:t>
      </w:r>
    </w:p>
    <w:p w14:paraId="51B7E09E">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7</w:t>
      </w:r>
      <w:r>
        <w:rPr>
          <w:rFonts w:hint="eastAsia" w:ascii="宋体" w:hAnsi="宋体" w:cs="宋体"/>
          <w:color w:val="121212"/>
          <w:sz w:val="24"/>
          <w:szCs w:val="22"/>
        </w:rPr>
        <w:t>.定期检查电缆沟井，排除积水。</w:t>
      </w:r>
    </w:p>
    <w:p w14:paraId="13617B4F">
      <w:pPr>
        <w:spacing w:line="440" w:lineRule="exact"/>
        <w:contextualSpacing/>
        <w:rPr>
          <w:rFonts w:ascii="宋体" w:hAnsi="宋体" w:cs="宋体"/>
          <w:color w:val="121212"/>
          <w:sz w:val="24"/>
          <w:szCs w:val="22"/>
        </w:rPr>
      </w:pPr>
      <w:r>
        <w:rPr>
          <w:rFonts w:hint="eastAsia" w:ascii="宋体" w:hAnsi="宋体" w:cs="宋体"/>
          <w:color w:val="121212"/>
          <w:sz w:val="24"/>
          <w:szCs w:val="22"/>
        </w:rPr>
        <w:t xml:space="preserve">    1</w:t>
      </w:r>
      <w:r>
        <w:rPr>
          <w:rFonts w:ascii="宋体" w:hAnsi="宋体" w:cs="宋体"/>
          <w:color w:val="121212"/>
          <w:sz w:val="24"/>
          <w:szCs w:val="22"/>
        </w:rPr>
        <w:t>8</w:t>
      </w:r>
      <w:r>
        <w:rPr>
          <w:rFonts w:hint="eastAsia" w:ascii="宋体" w:hAnsi="宋体" w:cs="宋体"/>
          <w:color w:val="121212"/>
          <w:sz w:val="24"/>
          <w:szCs w:val="22"/>
        </w:rPr>
        <w:t>.定期检查维护所有井、池、沟、绿化喷灌设施。确保井盖完好安全。</w:t>
      </w:r>
    </w:p>
    <w:p w14:paraId="2B93A490">
      <w:pPr>
        <w:spacing w:line="440" w:lineRule="exact"/>
        <w:ind w:firstLine="480" w:firstLineChars="200"/>
        <w:contextualSpacing/>
        <w:jc w:val="left"/>
        <w:rPr>
          <w:rFonts w:ascii="宋体" w:hAnsi="宋体" w:cs="宋体"/>
          <w:color w:val="121212"/>
          <w:sz w:val="24"/>
          <w:szCs w:val="22"/>
        </w:rPr>
      </w:pPr>
      <w:r>
        <w:rPr>
          <w:rFonts w:ascii="宋体" w:hAnsi="宋体" w:cs="宋体"/>
          <w:color w:val="121212"/>
          <w:sz w:val="24"/>
          <w:szCs w:val="22"/>
        </w:rPr>
        <w:t>19</w:t>
      </w:r>
      <w:r>
        <w:rPr>
          <w:rFonts w:hint="eastAsia" w:ascii="宋体" w:hAnsi="宋体" w:cs="宋体"/>
          <w:color w:val="121212"/>
          <w:sz w:val="24"/>
          <w:szCs w:val="22"/>
        </w:rPr>
        <w:t>.定期检查维护广场、道路、停车场和夜景照明设施，确保工作正常。</w:t>
      </w:r>
    </w:p>
    <w:p w14:paraId="21589479">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2</w:t>
      </w:r>
      <w:r>
        <w:rPr>
          <w:rFonts w:ascii="宋体" w:hAnsi="宋体" w:cs="宋体"/>
          <w:color w:val="121212"/>
          <w:sz w:val="24"/>
          <w:szCs w:val="22"/>
        </w:rPr>
        <w:t>0</w:t>
      </w:r>
      <w:r>
        <w:rPr>
          <w:rFonts w:hint="eastAsia" w:ascii="宋体" w:hAnsi="宋体" w:cs="宋体"/>
          <w:color w:val="121212"/>
          <w:sz w:val="24"/>
          <w:szCs w:val="22"/>
        </w:rPr>
        <w:t>.定期维护四至、道路、地面、台阶、道牙、园林建筑、围栏等室外设施，做到整洁无损。</w:t>
      </w:r>
    </w:p>
    <w:p w14:paraId="79EE0980">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2</w:t>
      </w:r>
      <w:r>
        <w:rPr>
          <w:rFonts w:ascii="宋体" w:hAnsi="宋体" w:cs="宋体"/>
          <w:color w:val="121212"/>
          <w:sz w:val="24"/>
          <w:szCs w:val="22"/>
        </w:rPr>
        <w:t>1</w:t>
      </w:r>
      <w:r>
        <w:rPr>
          <w:rFonts w:hint="eastAsia" w:ascii="宋体" w:hAnsi="宋体" w:cs="宋体"/>
          <w:color w:val="121212"/>
          <w:sz w:val="24"/>
          <w:szCs w:val="22"/>
        </w:rPr>
        <w:t>.定期检查维护水、电、排污等创意楼红线范围内的设施，包括站、井、沟、池。发现问题及时报告甲方有关部门，配合行业主管部门的检修工作。</w:t>
      </w:r>
    </w:p>
    <w:p w14:paraId="540D1DCF">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2</w:t>
      </w:r>
      <w:r>
        <w:rPr>
          <w:rFonts w:ascii="宋体" w:hAnsi="宋体" w:cs="宋体"/>
          <w:color w:val="121212"/>
          <w:sz w:val="24"/>
          <w:szCs w:val="22"/>
        </w:rPr>
        <w:t>2</w:t>
      </w:r>
      <w:r>
        <w:rPr>
          <w:rFonts w:hint="eastAsia" w:ascii="宋体" w:hAnsi="宋体" w:cs="宋体"/>
          <w:color w:val="121212"/>
          <w:sz w:val="24"/>
          <w:szCs w:val="22"/>
        </w:rPr>
        <w:t>.认真落实相关节能管理工作，做好能耗统计工作，有完备的记录和统计数据。</w:t>
      </w:r>
    </w:p>
    <w:p w14:paraId="7180D3D6">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2</w:t>
      </w:r>
      <w:r>
        <w:rPr>
          <w:rFonts w:ascii="宋体" w:hAnsi="宋体" w:cs="宋体"/>
          <w:color w:val="121212"/>
          <w:sz w:val="24"/>
          <w:szCs w:val="22"/>
        </w:rPr>
        <w:t>3</w:t>
      </w:r>
      <w:r>
        <w:rPr>
          <w:rFonts w:hint="eastAsia" w:ascii="宋体" w:hAnsi="宋体" w:cs="宋体"/>
          <w:color w:val="121212"/>
          <w:sz w:val="24"/>
          <w:szCs w:val="22"/>
        </w:rPr>
        <w:t>.</w:t>
      </w:r>
      <w:r>
        <w:rPr>
          <w:rFonts w:ascii="宋体" w:hAnsi="宋体" w:cs="宋体"/>
          <w:color w:val="121212"/>
          <w:sz w:val="24"/>
          <w:szCs w:val="22"/>
        </w:rPr>
        <w:t>力争</w:t>
      </w:r>
      <w:r>
        <w:rPr>
          <w:rFonts w:hint="eastAsia" w:ascii="宋体" w:hAnsi="宋体" w:cs="宋体"/>
          <w:color w:val="121212"/>
          <w:sz w:val="24"/>
          <w:szCs w:val="22"/>
        </w:rPr>
        <w:t>合</w:t>
      </w:r>
      <w:r>
        <w:rPr>
          <w:rFonts w:ascii="宋体" w:hAnsi="宋体" w:cs="宋体"/>
          <w:color w:val="121212"/>
          <w:sz w:val="24"/>
          <w:szCs w:val="22"/>
        </w:rPr>
        <w:t>同期内</w:t>
      </w:r>
      <w:r>
        <w:rPr>
          <w:rFonts w:hint="eastAsia" w:ascii="宋体" w:hAnsi="宋体" w:cs="宋体"/>
          <w:color w:val="121212"/>
          <w:sz w:val="24"/>
          <w:szCs w:val="22"/>
        </w:rPr>
        <w:t>达到</w:t>
      </w:r>
      <w:r>
        <w:rPr>
          <w:rFonts w:ascii="宋体" w:hAnsi="宋体" w:cs="宋体"/>
          <w:color w:val="121212"/>
          <w:sz w:val="24"/>
          <w:szCs w:val="22"/>
        </w:rPr>
        <w:t>北京市综合楼宇物业</w:t>
      </w:r>
      <w:r>
        <w:rPr>
          <w:rFonts w:hint="eastAsia" w:ascii="宋体" w:hAnsi="宋体" w:cs="宋体"/>
          <w:color w:val="121212"/>
          <w:sz w:val="24"/>
          <w:szCs w:val="22"/>
        </w:rPr>
        <w:t>管理</w:t>
      </w:r>
      <w:r>
        <w:rPr>
          <w:rFonts w:ascii="宋体" w:hAnsi="宋体" w:cs="宋体"/>
          <w:color w:val="121212"/>
          <w:sz w:val="24"/>
          <w:szCs w:val="22"/>
        </w:rPr>
        <w:t>安全生产标准化</w:t>
      </w:r>
      <w:r>
        <w:rPr>
          <w:rFonts w:hint="eastAsia" w:ascii="宋体" w:hAnsi="宋体" w:cs="宋体"/>
          <w:color w:val="121212"/>
          <w:sz w:val="24"/>
          <w:szCs w:val="22"/>
        </w:rPr>
        <w:t>评定（</w:t>
      </w:r>
      <w:r>
        <w:rPr>
          <w:rFonts w:ascii="宋体" w:hAnsi="宋体" w:cs="宋体"/>
          <w:color w:val="121212"/>
          <w:sz w:val="24"/>
          <w:szCs w:val="22"/>
        </w:rPr>
        <w:t>二级标准</w:t>
      </w:r>
      <w:r>
        <w:rPr>
          <w:rFonts w:hint="eastAsia" w:ascii="宋体" w:hAnsi="宋体" w:cs="宋体"/>
          <w:color w:val="121212"/>
          <w:sz w:val="24"/>
          <w:szCs w:val="22"/>
        </w:rPr>
        <w:t>）</w:t>
      </w:r>
      <w:r>
        <w:rPr>
          <w:rFonts w:ascii="宋体" w:hAnsi="宋体" w:cs="宋体"/>
          <w:color w:val="121212"/>
          <w:sz w:val="24"/>
          <w:szCs w:val="22"/>
        </w:rPr>
        <w:t>。</w:t>
      </w:r>
    </w:p>
    <w:p w14:paraId="159A394F">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（二）物业服务单位要求</w:t>
      </w:r>
    </w:p>
    <w:p w14:paraId="42500FCB">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符合政府采购要求</w:t>
      </w:r>
      <w:r>
        <w:rPr>
          <w:rFonts w:hint="eastAsia" w:ascii="宋体" w:hAnsi="宋体" w:cs="宋体"/>
          <w:color w:val="121212"/>
          <w:sz w:val="24"/>
          <w:szCs w:val="22"/>
        </w:rPr>
        <w:t>，具备同类项目业绩。</w:t>
      </w:r>
    </w:p>
    <w:p w14:paraId="20A2A8AA">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2.采购单位遇有临时紧急任务或重大活动时，服务单位应积极组织人员无条件给予配合。做好采购单位指定的其它临时性服务工作。</w:t>
      </w:r>
    </w:p>
    <w:p w14:paraId="664A99FC">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3.接受采购单位管理部门对日常服务工作的监督和管理，并对其负责。</w:t>
      </w:r>
    </w:p>
    <w:p w14:paraId="65D8D509">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4.服务单位要保证项目工作人员的相对稳定，年度人员更换率不超过15%，更换项目管理人员必须征得采购单位同意。</w:t>
      </w:r>
    </w:p>
    <w:p w14:paraId="0A5CC60B">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5.如因服务单位及人员的原因，对采购日常工作开展或整体形象造成影响，将视情况对服务单位进行相应处罚，保留进一步追究责任的权利。</w:t>
      </w:r>
    </w:p>
    <w:p w14:paraId="6E65FD52">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6．本服务项目不接受企业联合体投标。</w:t>
      </w:r>
    </w:p>
    <w:p w14:paraId="1CA98B44">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（三）人员要求</w:t>
      </w:r>
    </w:p>
    <w:p w14:paraId="5DD46697">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1．服务单位提供人员花名册，必须保证服务人员身体健康。</w:t>
      </w:r>
    </w:p>
    <w:p w14:paraId="18DDBC68">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2．要求在职员工年龄，原则上男性55周岁（含）以下、女性50周岁（含）以下，工作责任心强，工作认真，诚实可信，遵纪守法。投入本项目的人员需符合相应的执业资格要求，并经过岗前培训。若服务人员不能满足采购要求，采购有权要求更换，并参与或监督选聘工作及流程，采购所提合理化建议应被服务提供方所采纳。</w:t>
      </w:r>
    </w:p>
    <w:p w14:paraId="24EA6024">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3.工作人员要统一着装，佩带工牌，仪表整洁、礼貌服务。工装要美观、大方，体现企业的精神面貌。</w:t>
      </w:r>
    </w:p>
    <w:p w14:paraId="64FB855D">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4.项目经理符合行业标准要求，具有大</w:t>
      </w:r>
      <w:r>
        <w:rPr>
          <w:rFonts w:ascii="宋体" w:hAnsi="宋体" w:cs="宋体"/>
          <w:color w:val="121212"/>
          <w:sz w:val="24"/>
          <w:szCs w:val="22"/>
        </w:rPr>
        <w:t>专</w:t>
      </w:r>
      <w:r>
        <w:rPr>
          <w:rFonts w:hint="eastAsia" w:ascii="宋体" w:hAnsi="宋体" w:cs="宋体"/>
          <w:color w:val="121212"/>
          <w:sz w:val="24"/>
          <w:szCs w:val="22"/>
        </w:rPr>
        <w:t>及以上学历，具有物业管理服务经验；具备同类项目管理工作经验，项目经理不得随意更换。5.为保证整体服务质量，项目驻场固定服务工作人员总人数不少于1</w:t>
      </w:r>
      <w:r>
        <w:rPr>
          <w:rFonts w:ascii="宋体" w:hAnsi="宋体" w:cs="宋体"/>
          <w:color w:val="121212"/>
          <w:sz w:val="24"/>
          <w:szCs w:val="22"/>
        </w:rPr>
        <w:t>5</w:t>
      </w:r>
      <w:r>
        <w:rPr>
          <w:rFonts w:hint="eastAsia" w:ascii="宋体" w:hAnsi="宋体" w:cs="宋体"/>
          <w:color w:val="121212"/>
          <w:sz w:val="24"/>
          <w:szCs w:val="22"/>
        </w:rPr>
        <w:t>人，应按项目实际需求合理配备人员，严格遵守相关法律法规，各岗位人员持证上岗，项目所有人员必须经过健康体检和专业培训，有一定的工作经验，具有物业管理服务专业知识，熟悉项目工作程序，按规定开展日常项目日常工作。</w:t>
      </w:r>
    </w:p>
    <w:p w14:paraId="1D79EFAB">
      <w:pPr>
        <w:spacing w:line="440" w:lineRule="exact"/>
        <w:contextualSpacing/>
        <w:jc w:val="center"/>
        <w:rPr>
          <w:rFonts w:ascii="宋体" w:hAnsi="宋体"/>
          <w:color w:val="000000"/>
          <w:sz w:val="24"/>
        </w:rPr>
      </w:pPr>
      <w:r>
        <w:rPr>
          <w:rFonts w:hint="eastAsia" w:ascii="宋体" w:hAnsi="宋体"/>
          <w:color w:val="000000"/>
          <w:sz w:val="24"/>
        </w:rPr>
        <w:t>表1  工程与设备运行维护服务团队岗位</w:t>
      </w:r>
    </w:p>
    <w:tbl>
      <w:tblPr>
        <w:tblStyle w:val="2"/>
        <w:tblW w:w="0" w:type="auto"/>
        <w:tblInd w:w="-459" w:type="dxa"/>
        <w:tblLayout w:type="fixed"/>
        <w:tblCellMar>
          <w:top w:w="0" w:type="dxa"/>
          <w:left w:w="108" w:type="dxa"/>
          <w:bottom w:w="0" w:type="dxa"/>
          <w:right w:w="108" w:type="dxa"/>
        </w:tblCellMar>
      </w:tblPr>
      <w:tblGrid>
        <w:gridCol w:w="1134"/>
        <w:gridCol w:w="2835"/>
        <w:gridCol w:w="1560"/>
        <w:gridCol w:w="1701"/>
        <w:gridCol w:w="850"/>
        <w:gridCol w:w="1418"/>
      </w:tblGrid>
      <w:tr w14:paraId="0FD2BBAF">
        <w:tblPrEx>
          <w:tblCellMar>
            <w:top w:w="0" w:type="dxa"/>
            <w:left w:w="108" w:type="dxa"/>
            <w:bottom w:w="0" w:type="dxa"/>
            <w:right w:w="108" w:type="dxa"/>
          </w:tblCellMar>
        </w:tblPrEx>
        <w:trPr>
          <w:trHeight w:val="762"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14:paraId="0D9170D2">
            <w:pPr>
              <w:spacing w:line="440" w:lineRule="exact"/>
              <w:contextualSpacing/>
              <w:jc w:val="center"/>
              <w:rPr>
                <w:rFonts w:ascii="仿宋" w:hAnsi="仿宋" w:eastAsia="仿宋"/>
                <w:b/>
                <w:bCs/>
                <w:color w:val="000000"/>
                <w:sz w:val="28"/>
                <w:szCs w:val="28"/>
              </w:rPr>
            </w:pPr>
            <w:r>
              <w:rPr>
                <w:rFonts w:hint="eastAsia" w:ascii="仿宋" w:hAnsi="仿宋" w:eastAsia="仿宋"/>
                <w:b/>
                <w:bCs/>
                <w:color w:val="000000"/>
                <w:sz w:val="28"/>
                <w:szCs w:val="28"/>
              </w:rPr>
              <w:t>岗位</w:t>
            </w:r>
          </w:p>
          <w:p w14:paraId="0BC20C3D">
            <w:pPr>
              <w:spacing w:line="440" w:lineRule="exact"/>
              <w:contextualSpacing/>
              <w:jc w:val="center"/>
              <w:rPr>
                <w:rFonts w:ascii="仿宋" w:hAnsi="仿宋" w:eastAsia="仿宋"/>
                <w:b/>
                <w:bCs/>
                <w:color w:val="000000"/>
                <w:sz w:val="28"/>
                <w:szCs w:val="28"/>
              </w:rPr>
            </w:pPr>
            <w:r>
              <w:rPr>
                <w:rFonts w:hint="eastAsia" w:ascii="仿宋" w:hAnsi="仿宋" w:eastAsia="仿宋"/>
                <w:b/>
                <w:bCs/>
                <w:color w:val="000000"/>
                <w:sz w:val="28"/>
                <w:szCs w:val="28"/>
              </w:rPr>
              <w:t>名称</w:t>
            </w:r>
          </w:p>
        </w:tc>
        <w:tc>
          <w:tcPr>
            <w:tcW w:w="2835" w:type="dxa"/>
            <w:tcBorders>
              <w:top w:val="single" w:color="auto" w:sz="4" w:space="0"/>
              <w:left w:val="nil"/>
              <w:bottom w:val="single" w:color="auto" w:sz="4" w:space="0"/>
              <w:right w:val="single" w:color="auto" w:sz="4" w:space="0"/>
            </w:tcBorders>
            <w:noWrap w:val="0"/>
            <w:vAlign w:val="center"/>
          </w:tcPr>
          <w:p w14:paraId="1F8BF6A9">
            <w:pPr>
              <w:spacing w:line="440" w:lineRule="exact"/>
              <w:contextualSpacing/>
              <w:jc w:val="center"/>
              <w:rPr>
                <w:rFonts w:ascii="仿宋" w:hAnsi="仿宋" w:eastAsia="仿宋"/>
                <w:b/>
                <w:bCs/>
                <w:color w:val="000000"/>
                <w:sz w:val="28"/>
                <w:szCs w:val="28"/>
              </w:rPr>
            </w:pPr>
            <w:r>
              <w:rPr>
                <w:rFonts w:hint="eastAsia" w:ascii="仿宋" w:hAnsi="仿宋" w:eastAsia="仿宋"/>
                <w:b/>
                <w:bCs/>
                <w:color w:val="000000"/>
                <w:sz w:val="28"/>
                <w:szCs w:val="28"/>
              </w:rPr>
              <w:t>任职要求</w:t>
            </w:r>
          </w:p>
        </w:tc>
        <w:tc>
          <w:tcPr>
            <w:tcW w:w="1560" w:type="dxa"/>
            <w:tcBorders>
              <w:top w:val="single" w:color="auto" w:sz="4" w:space="0"/>
              <w:left w:val="nil"/>
              <w:bottom w:val="single" w:color="auto" w:sz="4" w:space="0"/>
              <w:right w:val="single" w:color="auto" w:sz="4" w:space="0"/>
            </w:tcBorders>
            <w:noWrap/>
            <w:vAlign w:val="center"/>
          </w:tcPr>
          <w:p w14:paraId="40605A72">
            <w:pPr>
              <w:spacing w:line="440" w:lineRule="exact"/>
              <w:contextualSpacing/>
              <w:jc w:val="center"/>
              <w:rPr>
                <w:rFonts w:ascii="仿宋" w:hAnsi="仿宋" w:eastAsia="仿宋"/>
                <w:b/>
                <w:bCs/>
                <w:color w:val="000000"/>
                <w:sz w:val="28"/>
                <w:szCs w:val="28"/>
              </w:rPr>
            </w:pPr>
            <w:r>
              <w:rPr>
                <w:rFonts w:hint="eastAsia" w:ascii="仿宋" w:hAnsi="仿宋" w:eastAsia="仿宋"/>
                <w:b/>
                <w:bCs/>
                <w:color w:val="000000"/>
                <w:sz w:val="28"/>
                <w:szCs w:val="28"/>
              </w:rPr>
              <w:t>相关</w:t>
            </w:r>
          </w:p>
          <w:p w14:paraId="6475E0D2">
            <w:pPr>
              <w:spacing w:line="440" w:lineRule="exact"/>
              <w:contextualSpacing/>
              <w:jc w:val="center"/>
              <w:rPr>
                <w:rFonts w:ascii="仿宋" w:hAnsi="仿宋" w:eastAsia="仿宋"/>
                <w:b/>
                <w:bCs/>
                <w:color w:val="000000"/>
                <w:sz w:val="28"/>
                <w:szCs w:val="28"/>
              </w:rPr>
            </w:pPr>
            <w:r>
              <w:rPr>
                <w:rFonts w:hint="eastAsia" w:ascii="仿宋" w:hAnsi="仿宋" w:eastAsia="仿宋"/>
                <w:b/>
                <w:bCs/>
                <w:color w:val="000000"/>
                <w:sz w:val="28"/>
                <w:szCs w:val="28"/>
              </w:rPr>
              <w:t>操作证</w:t>
            </w:r>
          </w:p>
        </w:tc>
        <w:tc>
          <w:tcPr>
            <w:tcW w:w="1701" w:type="dxa"/>
            <w:tcBorders>
              <w:top w:val="single" w:color="auto" w:sz="4" w:space="0"/>
              <w:left w:val="nil"/>
              <w:bottom w:val="single" w:color="auto" w:sz="4" w:space="0"/>
              <w:right w:val="single" w:color="auto" w:sz="4" w:space="0"/>
            </w:tcBorders>
            <w:noWrap w:val="0"/>
            <w:vAlign w:val="center"/>
          </w:tcPr>
          <w:p w14:paraId="1ACCBAAC">
            <w:pPr>
              <w:spacing w:line="440" w:lineRule="exact"/>
              <w:contextualSpacing/>
              <w:jc w:val="center"/>
              <w:rPr>
                <w:rFonts w:ascii="仿宋" w:hAnsi="仿宋" w:eastAsia="仿宋"/>
                <w:b/>
                <w:bCs/>
                <w:color w:val="000000"/>
                <w:sz w:val="28"/>
                <w:szCs w:val="28"/>
              </w:rPr>
            </w:pPr>
            <w:r>
              <w:rPr>
                <w:rFonts w:hint="eastAsia" w:ascii="仿宋" w:hAnsi="仿宋" w:eastAsia="仿宋"/>
                <w:b/>
                <w:bCs/>
                <w:color w:val="000000"/>
                <w:sz w:val="28"/>
                <w:szCs w:val="28"/>
              </w:rPr>
              <w:t>工作职责</w:t>
            </w:r>
          </w:p>
        </w:tc>
        <w:tc>
          <w:tcPr>
            <w:tcW w:w="850" w:type="dxa"/>
            <w:tcBorders>
              <w:top w:val="single" w:color="auto" w:sz="4" w:space="0"/>
              <w:left w:val="nil"/>
              <w:bottom w:val="single" w:color="auto" w:sz="4" w:space="0"/>
              <w:right w:val="single" w:color="auto" w:sz="4" w:space="0"/>
            </w:tcBorders>
            <w:noWrap w:val="0"/>
            <w:vAlign w:val="center"/>
          </w:tcPr>
          <w:p w14:paraId="6FD19E71">
            <w:pPr>
              <w:spacing w:line="440" w:lineRule="exact"/>
              <w:contextualSpacing/>
              <w:jc w:val="center"/>
              <w:rPr>
                <w:rFonts w:ascii="仿宋" w:hAnsi="仿宋" w:eastAsia="仿宋"/>
                <w:b/>
                <w:bCs/>
                <w:color w:val="000000"/>
                <w:sz w:val="28"/>
                <w:szCs w:val="28"/>
              </w:rPr>
            </w:pPr>
            <w:r>
              <w:rPr>
                <w:rFonts w:hint="eastAsia" w:ascii="仿宋" w:hAnsi="仿宋" w:eastAsia="仿宋"/>
                <w:b/>
                <w:bCs/>
                <w:color w:val="000000"/>
                <w:sz w:val="28"/>
                <w:szCs w:val="28"/>
              </w:rPr>
              <w:t>岗位要求</w:t>
            </w:r>
          </w:p>
        </w:tc>
        <w:tc>
          <w:tcPr>
            <w:tcW w:w="1418" w:type="dxa"/>
            <w:tcBorders>
              <w:top w:val="single" w:color="auto" w:sz="4" w:space="0"/>
              <w:left w:val="nil"/>
              <w:bottom w:val="single" w:color="auto" w:sz="4" w:space="0"/>
              <w:right w:val="single" w:color="auto" w:sz="4" w:space="0"/>
            </w:tcBorders>
            <w:noWrap w:val="0"/>
            <w:vAlign w:val="center"/>
          </w:tcPr>
          <w:p w14:paraId="0B5B5F07">
            <w:pPr>
              <w:spacing w:line="440" w:lineRule="exact"/>
              <w:contextualSpacing/>
              <w:jc w:val="center"/>
              <w:rPr>
                <w:rFonts w:ascii="仿宋" w:hAnsi="仿宋" w:eastAsia="仿宋"/>
                <w:b/>
                <w:bCs/>
                <w:color w:val="000000"/>
                <w:sz w:val="28"/>
                <w:szCs w:val="28"/>
              </w:rPr>
            </w:pPr>
            <w:r>
              <w:rPr>
                <w:rFonts w:hint="eastAsia" w:ascii="仿宋" w:hAnsi="仿宋" w:eastAsia="仿宋"/>
                <w:b/>
                <w:bCs/>
                <w:color w:val="000000"/>
                <w:sz w:val="28"/>
                <w:szCs w:val="28"/>
              </w:rPr>
              <w:t>工作</w:t>
            </w:r>
          </w:p>
          <w:p w14:paraId="6433610A">
            <w:pPr>
              <w:spacing w:line="440" w:lineRule="exact"/>
              <w:contextualSpacing/>
              <w:jc w:val="center"/>
              <w:rPr>
                <w:rFonts w:ascii="仿宋" w:hAnsi="仿宋" w:eastAsia="仿宋"/>
                <w:b/>
                <w:bCs/>
                <w:color w:val="000000"/>
                <w:sz w:val="28"/>
                <w:szCs w:val="28"/>
              </w:rPr>
            </w:pPr>
            <w:r>
              <w:rPr>
                <w:rFonts w:hint="eastAsia" w:ascii="仿宋" w:hAnsi="仿宋" w:eastAsia="仿宋"/>
                <w:b/>
                <w:bCs/>
                <w:color w:val="000000"/>
                <w:sz w:val="28"/>
                <w:szCs w:val="28"/>
              </w:rPr>
              <w:t>方式</w:t>
            </w:r>
          </w:p>
        </w:tc>
      </w:tr>
      <w:tr w14:paraId="341C473C">
        <w:tblPrEx>
          <w:tblCellMar>
            <w:top w:w="0" w:type="dxa"/>
            <w:left w:w="108" w:type="dxa"/>
            <w:bottom w:w="0" w:type="dxa"/>
            <w:right w:w="108" w:type="dxa"/>
          </w:tblCellMar>
        </w:tblPrEx>
        <w:trPr>
          <w:trHeight w:val="351" w:hRule="atLeast"/>
        </w:trPr>
        <w:tc>
          <w:tcPr>
            <w:tcW w:w="1134" w:type="dxa"/>
            <w:tcBorders>
              <w:top w:val="nil"/>
              <w:left w:val="single" w:color="auto" w:sz="4" w:space="0"/>
              <w:bottom w:val="single" w:color="auto" w:sz="4" w:space="0"/>
              <w:right w:val="single" w:color="auto" w:sz="4" w:space="0"/>
            </w:tcBorders>
            <w:noWrap w:val="0"/>
            <w:vAlign w:val="center"/>
          </w:tcPr>
          <w:p w14:paraId="01D7F9E3">
            <w:pPr>
              <w:jc w:val="center"/>
              <w:rPr>
                <w:rFonts w:ascii="仿宋_GB2312" w:hAnsi="仿宋" w:eastAsia="仿宋_GB2312"/>
                <w:sz w:val="24"/>
              </w:rPr>
            </w:pPr>
            <w:r>
              <w:rPr>
                <w:rFonts w:hint="eastAsia" w:ascii="仿宋_GB2312" w:hAnsi="仿宋" w:eastAsia="仿宋_GB2312"/>
                <w:sz w:val="24"/>
              </w:rPr>
              <w:t>项目经理</w:t>
            </w:r>
          </w:p>
        </w:tc>
        <w:tc>
          <w:tcPr>
            <w:tcW w:w="2835" w:type="dxa"/>
            <w:tcBorders>
              <w:top w:val="single" w:color="auto" w:sz="4" w:space="0"/>
              <w:left w:val="nil"/>
              <w:bottom w:val="single" w:color="auto" w:sz="4" w:space="0"/>
              <w:right w:val="single" w:color="auto" w:sz="4" w:space="0"/>
            </w:tcBorders>
            <w:noWrap w:val="0"/>
            <w:vAlign w:val="center"/>
          </w:tcPr>
          <w:p w14:paraId="51F21356">
            <w:pPr>
              <w:ind w:firstLine="480" w:firstLineChars="200"/>
              <w:jc w:val="left"/>
              <w:rPr>
                <w:rFonts w:ascii="仿宋_GB2312" w:hAnsi="仿宋" w:eastAsia="仿宋_GB2312" w:cs="宋体"/>
                <w:color w:val="000000"/>
                <w:sz w:val="24"/>
              </w:rPr>
            </w:pPr>
            <w:r>
              <w:rPr>
                <w:rFonts w:hint="eastAsia" w:ascii="仿宋_GB2312" w:hAnsi="仿宋" w:eastAsia="仿宋_GB2312"/>
                <w:color w:val="000000"/>
                <w:sz w:val="24"/>
              </w:rPr>
              <w:t>具有大专及以上学历，年龄在</w:t>
            </w:r>
            <w:r>
              <w:rPr>
                <w:rFonts w:hint="eastAsia" w:ascii="仿宋_GB2312" w:hAnsi="仿宋" w:eastAsia="仿宋_GB2312"/>
                <w:color w:val="000000"/>
                <w:sz w:val="24"/>
                <w:lang w:val="en-US" w:eastAsia="zh-CN"/>
              </w:rPr>
              <w:t>6</w:t>
            </w:r>
            <w:r>
              <w:rPr>
                <w:rFonts w:ascii="仿宋_GB2312" w:hAnsi="仿宋" w:eastAsia="仿宋_GB2312"/>
                <w:color w:val="000000"/>
                <w:sz w:val="24"/>
              </w:rPr>
              <w:t>0岁（含）以内，</w:t>
            </w:r>
            <w:r>
              <w:rPr>
                <w:rFonts w:hint="eastAsia" w:ascii="仿宋_GB2312" w:hAnsi="仿宋" w:eastAsia="仿宋_GB2312"/>
                <w:color w:val="000000"/>
                <w:sz w:val="24"/>
              </w:rPr>
              <w:t>具有物业管理服务经验；具备高级职称证书，具备同类项目管理工作经验，项目经理不得随意更换。</w:t>
            </w:r>
          </w:p>
        </w:tc>
        <w:tc>
          <w:tcPr>
            <w:tcW w:w="1560" w:type="dxa"/>
            <w:tcBorders>
              <w:top w:val="nil"/>
              <w:left w:val="nil"/>
              <w:bottom w:val="single" w:color="auto" w:sz="4" w:space="0"/>
              <w:right w:val="single" w:color="auto" w:sz="4" w:space="0"/>
            </w:tcBorders>
            <w:noWrap w:val="0"/>
            <w:vAlign w:val="center"/>
          </w:tcPr>
          <w:p w14:paraId="4371E395">
            <w:pPr>
              <w:jc w:val="left"/>
              <w:rPr>
                <w:rFonts w:ascii="仿宋_GB2312" w:hAnsi="仿宋" w:eastAsia="仿宋_GB2312" w:cs="宋体"/>
                <w:color w:val="000000"/>
                <w:sz w:val="24"/>
              </w:rPr>
            </w:pPr>
            <w:r>
              <w:rPr>
                <w:rFonts w:hint="eastAsia" w:ascii="仿宋_GB2312" w:hAnsi="仿宋" w:eastAsia="仿宋_GB2312" w:cs="宋体"/>
                <w:color w:val="000000"/>
                <w:sz w:val="24"/>
              </w:rPr>
              <w:t>学历证书、高级职称证书</w:t>
            </w:r>
          </w:p>
        </w:tc>
        <w:tc>
          <w:tcPr>
            <w:tcW w:w="1701" w:type="dxa"/>
            <w:tcBorders>
              <w:top w:val="nil"/>
              <w:left w:val="nil"/>
              <w:bottom w:val="single" w:color="auto" w:sz="4" w:space="0"/>
              <w:right w:val="single" w:color="auto" w:sz="4" w:space="0"/>
            </w:tcBorders>
            <w:noWrap w:val="0"/>
            <w:vAlign w:val="center"/>
          </w:tcPr>
          <w:p w14:paraId="5E853D22">
            <w:pPr>
              <w:jc w:val="left"/>
              <w:rPr>
                <w:rFonts w:ascii="仿宋_GB2312" w:hAnsi="仿宋" w:eastAsia="仿宋_GB2312" w:cs="宋体"/>
                <w:color w:val="000000"/>
                <w:sz w:val="24"/>
              </w:rPr>
            </w:pPr>
            <w:r>
              <w:rPr>
                <w:rFonts w:hint="eastAsia" w:ascii="仿宋_GB2312" w:hAnsi="仿宋" w:eastAsia="仿宋_GB2312"/>
                <w:color w:val="000000"/>
                <w:sz w:val="24"/>
              </w:rPr>
              <w:t>主要负责整体项目日常管理工作。</w:t>
            </w:r>
          </w:p>
        </w:tc>
        <w:tc>
          <w:tcPr>
            <w:tcW w:w="850" w:type="dxa"/>
            <w:tcBorders>
              <w:top w:val="nil"/>
              <w:left w:val="nil"/>
              <w:bottom w:val="single" w:color="auto" w:sz="4" w:space="0"/>
              <w:right w:val="single" w:color="auto" w:sz="4" w:space="0"/>
            </w:tcBorders>
            <w:noWrap w:val="0"/>
            <w:vAlign w:val="center"/>
          </w:tcPr>
          <w:p w14:paraId="4CF686F4">
            <w:pPr>
              <w:jc w:val="left"/>
              <w:rPr>
                <w:rFonts w:ascii="仿宋_GB2312" w:hAnsi="仿宋" w:eastAsia="仿宋_GB2312" w:cs="宋体"/>
                <w:color w:val="000000"/>
                <w:sz w:val="24"/>
              </w:rPr>
            </w:pPr>
            <w:r>
              <w:rPr>
                <w:rFonts w:hint="eastAsia" w:ascii="仿宋_GB2312" w:hAnsi="仿宋" w:eastAsia="仿宋_GB2312"/>
                <w:color w:val="000000"/>
                <w:sz w:val="24"/>
              </w:rPr>
              <w:t>1人</w:t>
            </w:r>
          </w:p>
        </w:tc>
        <w:tc>
          <w:tcPr>
            <w:tcW w:w="1418" w:type="dxa"/>
            <w:tcBorders>
              <w:top w:val="nil"/>
              <w:left w:val="nil"/>
              <w:bottom w:val="single" w:color="auto" w:sz="4" w:space="0"/>
              <w:right w:val="single" w:color="auto" w:sz="4" w:space="0"/>
            </w:tcBorders>
            <w:noWrap w:val="0"/>
            <w:vAlign w:val="center"/>
          </w:tcPr>
          <w:p w14:paraId="1DED0209">
            <w:pPr>
              <w:jc w:val="left"/>
              <w:rPr>
                <w:rFonts w:ascii="仿宋_GB2312" w:hAnsi="仿宋" w:eastAsia="仿宋_GB2312" w:cs="宋体"/>
                <w:color w:val="000000"/>
                <w:sz w:val="24"/>
              </w:rPr>
            </w:pPr>
            <w:r>
              <w:rPr>
                <w:rFonts w:hint="eastAsia" w:ascii="仿宋_GB2312" w:hAnsi="仿宋" w:eastAsia="仿宋_GB2312"/>
                <w:color w:val="000000"/>
                <w:sz w:val="24"/>
              </w:rPr>
              <w:t>日班，有任务需要加班</w:t>
            </w:r>
          </w:p>
        </w:tc>
      </w:tr>
      <w:tr w14:paraId="46BE774E">
        <w:tblPrEx>
          <w:tblCellMar>
            <w:top w:w="0" w:type="dxa"/>
            <w:left w:w="108" w:type="dxa"/>
            <w:bottom w:w="0" w:type="dxa"/>
            <w:right w:w="108" w:type="dxa"/>
          </w:tblCellMar>
        </w:tblPrEx>
        <w:trPr>
          <w:trHeight w:val="993" w:hRule="atLeast"/>
        </w:trPr>
        <w:tc>
          <w:tcPr>
            <w:tcW w:w="1134" w:type="dxa"/>
            <w:tcBorders>
              <w:top w:val="nil"/>
              <w:left w:val="single" w:color="auto" w:sz="4" w:space="0"/>
              <w:bottom w:val="single" w:color="auto" w:sz="4" w:space="0"/>
              <w:right w:val="single" w:color="auto" w:sz="4" w:space="0"/>
            </w:tcBorders>
            <w:noWrap w:val="0"/>
            <w:vAlign w:val="center"/>
          </w:tcPr>
          <w:p w14:paraId="2B0CF7BE">
            <w:pPr>
              <w:jc w:val="center"/>
              <w:rPr>
                <w:rFonts w:ascii="仿宋_GB2312" w:hAnsi="仿宋" w:eastAsia="仿宋_GB2312"/>
                <w:sz w:val="24"/>
              </w:rPr>
            </w:pPr>
            <w:r>
              <w:rPr>
                <w:rFonts w:hint="eastAsia" w:ascii="仿宋_GB2312" w:hAnsi="仿宋" w:eastAsia="仿宋_GB2312"/>
                <w:sz w:val="24"/>
              </w:rPr>
              <w:t>工程技工</w:t>
            </w:r>
          </w:p>
        </w:tc>
        <w:tc>
          <w:tcPr>
            <w:tcW w:w="2835" w:type="dxa"/>
            <w:tcBorders>
              <w:top w:val="nil"/>
              <w:left w:val="nil"/>
              <w:bottom w:val="single" w:color="auto" w:sz="4" w:space="0"/>
              <w:right w:val="single" w:color="auto" w:sz="4" w:space="0"/>
            </w:tcBorders>
            <w:noWrap w:val="0"/>
            <w:vAlign w:val="center"/>
          </w:tcPr>
          <w:p w14:paraId="2BF11FEA">
            <w:pPr>
              <w:ind w:firstLine="480" w:firstLineChars="200"/>
              <w:jc w:val="left"/>
              <w:rPr>
                <w:rFonts w:ascii="仿宋_GB2312" w:hAnsi="仿宋" w:eastAsia="仿宋_GB2312" w:cs="宋体"/>
                <w:color w:val="000000"/>
                <w:sz w:val="24"/>
              </w:rPr>
            </w:pPr>
            <w:r>
              <w:rPr>
                <w:rFonts w:hint="eastAsia" w:ascii="仿宋_GB2312" w:hAnsi="仿宋" w:eastAsia="仿宋_GB2312"/>
                <w:color w:val="000000"/>
                <w:sz w:val="24"/>
              </w:rPr>
              <w:t>具有中专及以上学历，年龄在</w:t>
            </w:r>
            <w:r>
              <w:rPr>
                <w:rFonts w:hint="eastAsia" w:ascii="仿宋_GB2312" w:hAnsi="仿宋" w:eastAsia="仿宋_GB2312"/>
                <w:color w:val="000000"/>
                <w:sz w:val="24"/>
                <w:lang w:val="en-US" w:eastAsia="zh-CN"/>
              </w:rPr>
              <w:t>6</w:t>
            </w:r>
            <w:r>
              <w:rPr>
                <w:rFonts w:ascii="仿宋_GB2312" w:hAnsi="仿宋" w:eastAsia="仿宋_GB2312"/>
                <w:color w:val="000000"/>
                <w:sz w:val="24"/>
              </w:rPr>
              <w:t>0岁（含）以内，</w:t>
            </w:r>
            <w:r>
              <w:rPr>
                <w:rFonts w:hint="eastAsia" w:ascii="仿宋_GB2312" w:hAnsi="仿宋" w:eastAsia="仿宋_GB2312"/>
                <w:color w:val="000000"/>
                <w:sz w:val="24"/>
              </w:rPr>
              <w:t>从事物业服务工程类工作</w:t>
            </w:r>
            <w:r>
              <w:rPr>
                <w:rFonts w:ascii="仿宋_GB2312" w:hAnsi="仿宋" w:eastAsia="仿宋_GB2312"/>
                <w:color w:val="000000"/>
                <w:sz w:val="24"/>
              </w:rPr>
              <w:t>3</w:t>
            </w:r>
            <w:r>
              <w:rPr>
                <w:rFonts w:hint="eastAsia" w:ascii="仿宋_GB2312" w:hAnsi="仿宋" w:eastAsia="仿宋_GB2312"/>
                <w:color w:val="000000"/>
                <w:sz w:val="24"/>
              </w:rPr>
              <w:t>年（含）以上，同岗位相关工作经验</w:t>
            </w:r>
            <w:r>
              <w:rPr>
                <w:rFonts w:ascii="仿宋_GB2312" w:hAnsi="仿宋" w:eastAsia="仿宋_GB2312"/>
                <w:color w:val="000000"/>
                <w:sz w:val="24"/>
              </w:rPr>
              <w:t>5</w:t>
            </w:r>
            <w:r>
              <w:rPr>
                <w:rFonts w:hint="eastAsia" w:ascii="仿宋_GB2312" w:hAnsi="仿宋" w:eastAsia="仿宋_GB2312"/>
                <w:color w:val="000000"/>
                <w:sz w:val="24"/>
              </w:rPr>
              <w:t>年（含）以上，具备较丰富的空调、给排水、电气、综合维修专业知识，具有一定的组织、协调能力。</w:t>
            </w:r>
          </w:p>
        </w:tc>
        <w:tc>
          <w:tcPr>
            <w:tcW w:w="1560" w:type="dxa"/>
            <w:tcBorders>
              <w:top w:val="nil"/>
              <w:left w:val="nil"/>
              <w:bottom w:val="single" w:color="auto" w:sz="4" w:space="0"/>
              <w:right w:val="single" w:color="auto" w:sz="4" w:space="0"/>
            </w:tcBorders>
            <w:noWrap w:val="0"/>
            <w:vAlign w:val="center"/>
          </w:tcPr>
          <w:p w14:paraId="59C462CF">
            <w:pPr>
              <w:jc w:val="left"/>
              <w:rPr>
                <w:rFonts w:ascii="仿宋_GB2312" w:hAnsi="仿宋" w:eastAsia="仿宋_GB2312" w:cs="宋体"/>
                <w:color w:val="000000"/>
                <w:sz w:val="24"/>
              </w:rPr>
            </w:pPr>
            <w:r>
              <w:rPr>
                <w:rFonts w:hint="eastAsia" w:ascii="仿宋_GB2312" w:hAnsi="仿宋" w:eastAsia="仿宋_GB2312"/>
                <w:color w:val="000000"/>
                <w:sz w:val="24"/>
              </w:rPr>
              <w:t>中级及以及电气工程师证</w:t>
            </w:r>
          </w:p>
        </w:tc>
        <w:tc>
          <w:tcPr>
            <w:tcW w:w="1701" w:type="dxa"/>
            <w:tcBorders>
              <w:top w:val="nil"/>
              <w:left w:val="nil"/>
              <w:bottom w:val="single" w:color="auto" w:sz="4" w:space="0"/>
              <w:right w:val="single" w:color="auto" w:sz="4" w:space="0"/>
            </w:tcBorders>
            <w:noWrap w:val="0"/>
            <w:vAlign w:val="center"/>
          </w:tcPr>
          <w:p w14:paraId="3718CEF0">
            <w:pPr>
              <w:jc w:val="left"/>
              <w:rPr>
                <w:rFonts w:ascii="仿宋_GB2312" w:hAnsi="仿宋" w:eastAsia="仿宋_GB2312" w:cs="宋体"/>
                <w:color w:val="000000"/>
                <w:sz w:val="24"/>
              </w:rPr>
            </w:pPr>
            <w:r>
              <w:rPr>
                <w:rFonts w:hint="eastAsia" w:ascii="仿宋_GB2312" w:hAnsi="仿宋" w:eastAsia="仿宋_GB2312"/>
                <w:color w:val="000000"/>
                <w:sz w:val="24"/>
              </w:rPr>
              <w:t>负责设备设施正产运转维护管理工作。</w:t>
            </w:r>
          </w:p>
        </w:tc>
        <w:tc>
          <w:tcPr>
            <w:tcW w:w="850" w:type="dxa"/>
            <w:tcBorders>
              <w:top w:val="nil"/>
              <w:left w:val="nil"/>
              <w:bottom w:val="single" w:color="auto" w:sz="4" w:space="0"/>
              <w:right w:val="single" w:color="auto" w:sz="4" w:space="0"/>
            </w:tcBorders>
            <w:noWrap w:val="0"/>
            <w:vAlign w:val="center"/>
          </w:tcPr>
          <w:p w14:paraId="08D82455">
            <w:pPr>
              <w:jc w:val="left"/>
              <w:rPr>
                <w:rFonts w:ascii="仿宋_GB2312" w:hAnsi="仿宋" w:eastAsia="仿宋_GB2312" w:cs="宋体"/>
                <w:color w:val="000000"/>
                <w:sz w:val="24"/>
              </w:rPr>
            </w:pPr>
            <w:r>
              <w:rPr>
                <w:rFonts w:hint="eastAsia" w:ascii="仿宋_GB2312" w:hAnsi="仿宋" w:eastAsia="仿宋_GB2312"/>
                <w:color w:val="000000"/>
                <w:sz w:val="24"/>
              </w:rPr>
              <w:t>2人</w:t>
            </w:r>
          </w:p>
        </w:tc>
        <w:tc>
          <w:tcPr>
            <w:tcW w:w="1418" w:type="dxa"/>
            <w:tcBorders>
              <w:top w:val="nil"/>
              <w:left w:val="nil"/>
              <w:bottom w:val="single" w:color="auto" w:sz="4" w:space="0"/>
              <w:right w:val="single" w:color="auto" w:sz="4" w:space="0"/>
            </w:tcBorders>
            <w:noWrap w:val="0"/>
            <w:vAlign w:val="center"/>
          </w:tcPr>
          <w:p w14:paraId="618B5E88">
            <w:pPr>
              <w:jc w:val="left"/>
              <w:rPr>
                <w:rFonts w:ascii="仿宋_GB2312" w:hAnsi="仿宋" w:eastAsia="仿宋_GB2312" w:cs="宋体"/>
                <w:color w:val="000000"/>
                <w:sz w:val="24"/>
              </w:rPr>
            </w:pPr>
            <w:r>
              <w:rPr>
                <w:rFonts w:hint="eastAsia" w:ascii="仿宋_GB2312" w:hAnsi="仿宋" w:eastAsia="仿宋_GB2312" w:cs="宋体"/>
                <w:color w:val="000000"/>
                <w:sz w:val="24"/>
              </w:rPr>
              <w:t>日班，需进行轮班互补，有问题及时解决。</w:t>
            </w:r>
          </w:p>
        </w:tc>
      </w:tr>
      <w:tr w14:paraId="53D2EA2F">
        <w:tblPrEx>
          <w:tblCellMar>
            <w:top w:w="0" w:type="dxa"/>
            <w:left w:w="108" w:type="dxa"/>
            <w:bottom w:w="0" w:type="dxa"/>
            <w:right w:w="108" w:type="dxa"/>
          </w:tblCellMar>
        </w:tblPrEx>
        <w:trPr>
          <w:trHeight w:val="1405" w:hRule="atLeast"/>
        </w:trPr>
        <w:tc>
          <w:tcPr>
            <w:tcW w:w="1134" w:type="dxa"/>
            <w:tcBorders>
              <w:top w:val="nil"/>
              <w:left w:val="single" w:color="auto" w:sz="4" w:space="0"/>
              <w:bottom w:val="single" w:color="auto" w:sz="4" w:space="0"/>
              <w:right w:val="single" w:color="auto" w:sz="4" w:space="0"/>
            </w:tcBorders>
            <w:noWrap w:val="0"/>
            <w:vAlign w:val="center"/>
          </w:tcPr>
          <w:p w14:paraId="7A834541">
            <w:pPr>
              <w:jc w:val="center"/>
              <w:rPr>
                <w:rFonts w:ascii="仿宋_GB2312" w:hAnsi="仿宋" w:eastAsia="仿宋_GB2312"/>
                <w:sz w:val="24"/>
              </w:rPr>
            </w:pPr>
            <w:r>
              <w:rPr>
                <w:rFonts w:hint="eastAsia" w:ascii="仿宋_GB2312" w:hAnsi="仿宋" w:eastAsia="仿宋_GB2312"/>
                <w:sz w:val="24"/>
              </w:rPr>
              <w:t>会议服务</w:t>
            </w:r>
          </w:p>
        </w:tc>
        <w:tc>
          <w:tcPr>
            <w:tcW w:w="2835" w:type="dxa"/>
            <w:tcBorders>
              <w:top w:val="nil"/>
              <w:left w:val="nil"/>
              <w:bottom w:val="single" w:color="auto" w:sz="4" w:space="0"/>
              <w:right w:val="single" w:color="auto" w:sz="4" w:space="0"/>
            </w:tcBorders>
            <w:noWrap w:val="0"/>
            <w:vAlign w:val="center"/>
          </w:tcPr>
          <w:p w14:paraId="4E7B5F91">
            <w:pPr>
              <w:ind w:firstLine="480" w:firstLineChars="200"/>
              <w:jc w:val="left"/>
              <w:rPr>
                <w:rFonts w:ascii="仿宋_GB2312" w:hAnsi="仿宋" w:eastAsia="仿宋_GB2312" w:cs="宋体"/>
                <w:color w:val="000000"/>
                <w:sz w:val="24"/>
              </w:rPr>
            </w:pPr>
            <w:r>
              <w:rPr>
                <w:rFonts w:hint="eastAsia" w:ascii="仿宋_GB2312" w:hAnsi="仿宋" w:eastAsia="仿宋_GB2312"/>
                <w:color w:val="000000"/>
                <w:sz w:val="24"/>
              </w:rPr>
              <w:t>具有大专及以上学历，女性，年龄在3</w:t>
            </w:r>
            <w:r>
              <w:rPr>
                <w:rFonts w:ascii="仿宋_GB2312" w:hAnsi="仿宋" w:eastAsia="仿宋_GB2312"/>
                <w:color w:val="000000"/>
                <w:sz w:val="24"/>
              </w:rPr>
              <w:t>5岁（含）以内，形象好，</w:t>
            </w:r>
            <w:r>
              <w:rPr>
                <w:rFonts w:hint="eastAsia" w:ascii="仿宋_GB2312" w:hAnsi="仿宋" w:eastAsia="仿宋_GB2312"/>
                <w:color w:val="000000"/>
                <w:sz w:val="24"/>
              </w:rPr>
              <w:t>具有2年（含）以上会议服务经验。分别从事档案管理、设备介绍（讲解）客服、行政管理。</w:t>
            </w:r>
          </w:p>
        </w:tc>
        <w:tc>
          <w:tcPr>
            <w:tcW w:w="1560" w:type="dxa"/>
            <w:tcBorders>
              <w:top w:val="nil"/>
              <w:left w:val="nil"/>
              <w:bottom w:val="single" w:color="auto" w:sz="4" w:space="0"/>
              <w:right w:val="single" w:color="auto" w:sz="4" w:space="0"/>
            </w:tcBorders>
            <w:noWrap w:val="0"/>
            <w:vAlign w:val="center"/>
          </w:tcPr>
          <w:p w14:paraId="59E0A207">
            <w:pPr>
              <w:jc w:val="left"/>
              <w:rPr>
                <w:rFonts w:ascii="仿宋_GB2312" w:hAnsi="仿宋" w:eastAsia="仿宋_GB2312" w:cs="宋体"/>
                <w:color w:val="000000"/>
                <w:sz w:val="24"/>
              </w:rPr>
            </w:pPr>
          </w:p>
        </w:tc>
        <w:tc>
          <w:tcPr>
            <w:tcW w:w="1701" w:type="dxa"/>
            <w:tcBorders>
              <w:top w:val="nil"/>
              <w:left w:val="nil"/>
              <w:bottom w:val="single" w:color="auto" w:sz="4" w:space="0"/>
              <w:right w:val="single" w:color="auto" w:sz="4" w:space="0"/>
            </w:tcBorders>
            <w:noWrap w:val="0"/>
            <w:vAlign w:val="center"/>
          </w:tcPr>
          <w:p w14:paraId="00B70DFD">
            <w:pPr>
              <w:jc w:val="left"/>
              <w:rPr>
                <w:rFonts w:ascii="仿宋_GB2312" w:hAnsi="仿宋" w:eastAsia="仿宋_GB2312" w:cs="宋体"/>
                <w:color w:val="000000"/>
                <w:sz w:val="24"/>
              </w:rPr>
            </w:pPr>
            <w:r>
              <w:rPr>
                <w:rFonts w:hint="eastAsia" w:ascii="仿宋_GB2312" w:hAnsi="仿宋" w:eastAsia="仿宋_GB2312"/>
                <w:color w:val="000000"/>
                <w:sz w:val="24"/>
              </w:rPr>
              <w:t>负责日常会议服务、档案整理、电话接投诉及展览馆讲解等工作。</w:t>
            </w:r>
          </w:p>
        </w:tc>
        <w:tc>
          <w:tcPr>
            <w:tcW w:w="850" w:type="dxa"/>
            <w:tcBorders>
              <w:top w:val="nil"/>
              <w:left w:val="nil"/>
              <w:bottom w:val="single" w:color="auto" w:sz="4" w:space="0"/>
              <w:right w:val="single" w:color="auto" w:sz="4" w:space="0"/>
            </w:tcBorders>
            <w:noWrap w:val="0"/>
            <w:vAlign w:val="center"/>
          </w:tcPr>
          <w:p w14:paraId="1B989EB2">
            <w:pPr>
              <w:jc w:val="left"/>
              <w:rPr>
                <w:rFonts w:ascii="仿宋_GB2312" w:hAnsi="仿宋" w:eastAsia="仿宋_GB2312" w:cs="宋体"/>
                <w:color w:val="000000"/>
                <w:sz w:val="24"/>
              </w:rPr>
            </w:pPr>
            <w:r>
              <w:rPr>
                <w:rFonts w:hint="eastAsia" w:ascii="仿宋_GB2312" w:hAnsi="仿宋" w:eastAsia="仿宋_GB2312"/>
                <w:color w:val="000000"/>
                <w:sz w:val="24"/>
              </w:rPr>
              <w:t>2人</w:t>
            </w:r>
          </w:p>
        </w:tc>
        <w:tc>
          <w:tcPr>
            <w:tcW w:w="1418" w:type="dxa"/>
            <w:tcBorders>
              <w:top w:val="nil"/>
              <w:left w:val="nil"/>
              <w:bottom w:val="single" w:color="auto" w:sz="4" w:space="0"/>
              <w:right w:val="single" w:color="auto" w:sz="4" w:space="0"/>
            </w:tcBorders>
            <w:noWrap w:val="0"/>
            <w:vAlign w:val="center"/>
          </w:tcPr>
          <w:p w14:paraId="6E71E2B3">
            <w:pPr>
              <w:jc w:val="left"/>
              <w:rPr>
                <w:rFonts w:ascii="仿宋_GB2312" w:hAnsi="仿宋" w:eastAsia="仿宋_GB2312" w:cs="宋体"/>
                <w:color w:val="000000"/>
                <w:sz w:val="24"/>
              </w:rPr>
            </w:pPr>
            <w:r>
              <w:rPr>
                <w:rFonts w:hint="eastAsia" w:ascii="仿宋_GB2312" w:hAnsi="仿宋" w:eastAsia="仿宋_GB2312"/>
                <w:color w:val="000000"/>
                <w:sz w:val="24"/>
              </w:rPr>
              <w:t>日班，错峰休息</w:t>
            </w:r>
          </w:p>
        </w:tc>
      </w:tr>
      <w:tr w14:paraId="679DCF1F">
        <w:tblPrEx>
          <w:tblCellMar>
            <w:top w:w="0" w:type="dxa"/>
            <w:left w:w="108" w:type="dxa"/>
            <w:bottom w:w="0" w:type="dxa"/>
            <w:right w:w="108" w:type="dxa"/>
          </w:tblCellMar>
        </w:tblPrEx>
        <w:trPr>
          <w:trHeight w:val="1207"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14:paraId="172F1C3D">
            <w:pPr>
              <w:jc w:val="center"/>
              <w:rPr>
                <w:rFonts w:ascii="仿宋_GB2312" w:hAnsi="仿宋" w:eastAsia="仿宋_GB2312"/>
                <w:sz w:val="24"/>
              </w:rPr>
            </w:pPr>
            <w:r>
              <w:rPr>
                <w:rFonts w:hint="eastAsia" w:ascii="仿宋_GB2312" w:hAnsi="仿宋" w:eastAsia="仿宋_GB2312"/>
                <w:sz w:val="24"/>
              </w:rPr>
              <w:t>前台兼客服</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EB699EF">
            <w:pPr>
              <w:ind w:firstLine="480" w:firstLineChars="200"/>
              <w:jc w:val="left"/>
              <w:rPr>
                <w:rFonts w:ascii="仿宋_GB2312" w:hAnsi="仿宋" w:eastAsia="仿宋_GB2312" w:cs="宋体"/>
                <w:color w:val="000000"/>
                <w:sz w:val="24"/>
              </w:rPr>
            </w:pPr>
            <w:r>
              <w:rPr>
                <w:rFonts w:hint="eastAsia" w:ascii="仿宋_GB2312" w:hAnsi="仿宋" w:eastAsia="仿宋_GB2312" w:cs="宋体"/>
                <w:color w:val="000000"/>
                <w:sz w:val="24"/>
              </w:rPr>
              <w:t>具有中专/高中及以上学历，女性，年龄在3</w:t>
            </w:r>
            <w:r>
              <w:rPr>
                <w:rFonts w:ascii="仿宋_GB2312" w:hAnsi="仿宋" w:eastAsia="仿宋_GB2312" w:cs="宋体"/>
                <w:color w:val="000000"/>
                <w:sz w:val="24"/>
              </w:rPr>
              <w:t>5岁（含）以内，形象良好，</w:t>
            </w:r>
            <w:r>
              <w:rPr>
                <w:rFonts w:hint="eastAsia" w:ascii="仿宋_GB2312" w:hAnsi="仿宋" w:eastAsia="仿宋_GB2312" w:cs="宋体"/>
                <w:color w:val="000000"/>
                <w:sz w:val="24"/>
              </w:rPr>
              <w:t>具有2年（含）以上前台服务经验。熟悉相关业务。</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8B85302">
            <w:pPr>
              <w:jc w:val="left"/>
              <w:rPr>
                <w:rFonts w:ascii="仿宋_GB2312" w:hAnsi="仿宋" w:eastAsia="仿宋_GB2312" w:cs="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2B3684">
            <w:pPr>
              <w:jc w:val="left"/>
              <w:rPr>
                <w:rFonts w:ascii="仿宋_GB2312" w:hAnsi="仿宋" w:eastAsia="仿宋_GB2312" w:cs="宋体"/>
                <w:color w:val="000000"/>
                <w:sz w:val="24"/>
              </w:rPr>
            </w:pPr>
            <w:r>
              <w:rPr>
                <w:rFonts w:hint="eastAsia" w:ascii="仿宋_GB2312" w:hAnsi="仿宋" w:eastAsia="仿宋_GB2312" w:cs="宋体"/>
                <w:color w:val="000000"/>
                <w:sz w:val="24"/>
              </w:rPr>
              <w:t>负责日常前台接待、档案整理、电话接投诉等工作。</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25905AB">
            <w:pPr>
              <w:jc w:val="left"/>
              <w:rPr>
                <w:rFonts w:ascii="仿宋_GB2312" w:hAnsi="仿宋" w:eastAsia="仿宋_GB2312" w:cs="宋体"/>
                <w:color w:val="000000"/>
                <w:sz w:val="24"/>
              </w:rPr>
            </w:pPr>
            <w:r>
              <w:rPr>
                <w:rFonts w:hint="eastAsia" w:ascii="仿宋_GB2312" w:hAnsi="仿宋" w:eastAsia="仿宋_GB2312"/>
                <w:color w:val="000000"/>
                <w:sz w:val="24"/>
              </w:rPr>
              <w:t>2人</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999EC06">
            <w:pPr>
              <w:spacing w:line="300" w:lineRule="exact"/>
              <w:contextualSpacing/>
              <w:jc w:val="left"/>
              <w:rPr>
                <w:rFonts w:ascii="仿宋_GB2312" w:hAnsi="仿宋" w:eastAsia="仿宋_GB2312"/>
                <w:sz w:val="24"/>
              </w:rPr>
            </w:pPr>
            <w:r>
              <w:rPr>
                <w:rFonts w:hint="eastAsia" w:ascii="仿宋_GB2312" w:hAnsi="仿宋" w:eastAsia="仿宋_GB2312"/>
                <w:sz w:val="24"/>
              </w:rPr>
              <w:t>日班，需进行轮班互补，错峰休息。</w:t>
            </w:r>
          </w:p>
        </w:tc>
      </w:tr>
      <w:tr w14:paraId="30AEEFD4">
        <w:tblPrEx>
          <w:tblCellMar>
            <w:top w:w="0" w:type="dxa"/>
            <w:left w:w="108" w:type="dxa"/>
            <w:bottom w:w="0" w:type="dxa"/>
            <w:right w:w="108" w:type="dxa"/>
          </w:tblCellMar>
        </w:tblPrEx>
        <w:trPr>
          <w:trHeight w:val="995"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14:paraId="0263DDA6">
            <w:pPr>
              <w:jc w:val="center"/>
              <w:rPr>
                <w:rFonts w:ascii="仿宋_GB2312" w:hAnsi="仿宋" w:eastAsia="仿宋_GB2312"/>
                <w:sz w:val="24"/>
              </w:rPr>
            </w:pPr>
            <w:r>
              <w:rPr>
                <w:rFonts w:hint="eastAsia" w:ascii="仿宋_GB2312" w:hAnsi="仿宋" w:eastAsia="仿宋_GB2312"/>
                <w:sz w:val="24"/>
              </w:rPr>
              <w:t>室外保洁员</w:t>
            </w:r>
          </w:p>
        </w:tc>
        <w:tc>
          <w:tcPr>
            <w:tcW w:w="2835" w:type="dxa"/>
            <w:vMerge w:val="restart"/>
            <w:tcBorders>
              <w:top w:val="single" w:color="auto" w:sz="4" w:space="0"/>
              <w:left w:val="nil"/>
              <w:right w:val="single" w:color="auto" w:sz="4" w:space="0"/>
            </w:tcBorders>
            <w:noWrap w:val="0"/>
            <w:vAlign w:val="center"/>
          </w:tcPr>
          <w:p w14:paraId="088ABB94">
            <w:pPr>
              <w:jc w:val="left"/>
              <w:rPr>
                <w:rFonts w:hint="eastAsia" w:ascii="仿宋_GB2312" w:hAnsi="仿宋" w:eastAsia="仿宋_GB2312"/>
                <w:color w:val="000000"/>
                <w:sz w:val="24"/>
              </w:rPr>
            </w:pPr>
          </w:p>
          <w:p w14:paraId="2A0D0640">
            <w:pPr>
              <w:ind w:firstLine="480" w:firstLineChars="200"/>
              <w:jc w:val="left"/>
              <w:rPr>
                <w:rFonts w:ascii="仿宋_GB2312" w:hAnsi="仿宋" w:eastAsia="仿宋_GB2312" w:cs="宋体"/>
                <w:color w:val="000000"/>
                <w:sz w:val="24"/>
              </w:rPr>
            </w:pPr>
            <w:r>
              <w:rPr>
                <w:rFonts w:hint="eastAsia" w:ascii="仿宋_GB2312" w:hAnsi="仿宋" w:eastAsia="仿宋_GB2312"/>
                <w:color w:val="000000"/>
                <w:sz w:val="24"/>
              </w:rPr>
              <w:t>最低一半人员（4人）要具有同岗位相关工作经验2年（含）以上，平均年龄在4</w:t>
            </w:r>
            <w:r>
              <w:rPr>
                <w:rFonts w:ascii="仿宋_GB2312" w:hAnsi="仿宋" w:eastAsia="仿宋_GB2312"/>
                <w:color w:val="000000"/>
                <w:sz w:val="24"/>
              </w:rPr>
              <w:t>0岁（含）以内，</w:t>
            </w:r>
            <w:r>
              <w:rPr>
                <w:rFonts w:hint="eastAsia" w:ascii="仿宋_GB2312" w:hAnsi="仿宋" w:eastAsia="仿宋_GB2312"/>
                <w:color w:val="000000"/>
                <w:sz w:val="24"/>
              </w:rPr>
              <w:t>责任心强。</w:t>
            </w:r>
            <w:r>
              <w:rPr>
                <w:rFonts w:hint="eastAsia" w:ascii="仿宋_GB2312" w:hAnsi="仿宋" w:eastAsia="仿宋_GB2312" w:cs="宋体"/>
                <w:color w:val="000000"/>
                <w:sz w:val="24"/>
              </w:rPr>
              <w:t xml:space="preserve"> </w:t>
            </w:r>
          </w:p>
        </w:tc>
        <w:tc>
          <w:tcPr>
            <w:tcW w:w="1560" w:type="dxa"/>
            <w:tcBorders>
              <w:top w:val="single" w:color="auto" w:sz="4" w:space="0"/>
              <w:left w:val="nil"/>
              <w:bottom w:val="single" w:color="auto" w:sz="4" w:space="0"/>
              <w:right w:val="single" w:color="auto" w:sz="4" w:space="0"/>
            </w:tcBorders>
            <w:noWrap w:val="0"/>
            <w:vAlign w:val="center"/>
          </w:tcPr>
          <w:p w14:paraId="785EFA65">
            <w:pPr>
              <w:jc w:val="left"/>
              <w:rPr>
                <w:rFonts w:ascii="仿宋_GB2312" w:hAnsi="仿宋" w:eastAsia="仿宋_GB2312" w:cs="宋体"/>
                <w:color w:val="000000"/>
                <w:sz w:val="24"/>
              </w:rPr>
            </w:pPr>
          </w:p>
        </w:tc>
        <w:tc>
          <w:tcPr>
            <w:tcW w:w="1701" w:type="dxa"/>
            <w:tcBorders>
              <w:top w:val="single" w:color="auto" w:sz="4" w:space="0"/>
              <w:left w:val="nil"/>
              <w:bottom w:val="single" w:color="auto" w:sz="4" w:space="0"/>
              <w:right w:val="single" w:color="auto" w:sz="4" w:space="0"/>
            </w:tcBorders>
            <w:noWrap w:val="0"/>
            <w:vAlign w:val="center"/>
          </w:tcPr>
          <w:p w14:paraId="0C7D0AF6">
            <w:pPr>
              <w:jc w:val="left"/>
              <w:rPr>
                <w:rFonts w:ascii="仿宋_GB2312" w:hAnsi="仿宋" w:eastAsia="仿宋_GB2312" w:cs="宋体"/>
                <w:color w:val="000000"/>
                <w:sz w:val="24"/>
              </w:rPr>
            </w:pPr>
            <w:r>
              <w:rPr>
                <w:rFonts w:hint="eastAsia" w:ascii="仿宋_GB2312" w:hAnsi="仿宋" w:eastAsia="仿宋_GB2312" w:cs="宋体"/>
                <w:color w:val="000000"/>
                <w:sz w:val="24"/>
              </w:rPr>
              <w:t>外围环境、屋面、设备机房清洁及垃圾分类园区内清运工作。</w:t>
            </w:r>
          </w:p>
        </w:tc>
        <w:tc>
          <w:tcPr>
            <w:tcW w:w="850" w:type="dxa"/>
            <w:tcBorders>
              <w:top w:val="single" w:color="auto" w:sz="4" w:space="0"/>
              <w:left w:val="nil"/>
              <w:bottom w:val="single" w:color="auto" w:sz="4" w:space="0"/>
              <w:right w:val="single" w:color="auto" w:sz="4" w:space="0"/>
            </w:tcBorders>
            <w:noWrap w:val="0"/>
            <w:vAlign w:val="center"/>
          </w:tcPr>
          <w:p w14:paraId="5384D8D1">
            <w:pPr>
              <w:jc w:val="left"/>
              <w:rPr>
                <w:rFonts w:ascii="仿宋_GB2312" w:hAnsi="仿宋" w:eastAsia="仿宋_GB2312" w:cs="宋体"/>
                <w:color w:val="000000"/>
                <w:sz w:val="24"/>
              </w:rPr>
            </w:pPr>
            <w:r>
              <w:rPr>
                <w:rFonts w:hint="eastAsia" w:ascii="仿宋_GB2312" w:hAnsi="仿宋" w:eastAsia="仿宋_GB2312"/>
                <w:color w:val="000000"/>
                <w:sz w:val="24"/>
              </w:rPr>
              <w:t>2人</w:t>
            </w:r>
          </w:p>
        </w:tc>
        <w:tc>
          <w:tcPr>
            <w:tcW w:w="1418" w:type="dxa"/>
            <w:tcBorders>
              <w:top w:val="single" w:color="auto" w:sz="4" w:space="0"/>
              <w:left w:val="nil"/>
              <w:bottom w:val="single" w:color="auto" w:sz="4" w:space="0"/>
              <w:right w:val="single" w:color="auto" w:sz="4" w:space="0"/>
            </w:tcBorders>
            <w:noWrap w:val="0"/>
            <w:vAlign w:val="center"/>
          </w:tcPr>
          <w:p w14:paraId="4D75F671">
            <w:pPr>
              <w:jc w:val="left"/>
              <w:rPr>
                <w:rFonts w:ascii="仿宋_GB2312" w:hAnsi="仿宋" w:eastAsia="仿宋_GB2312"/>
                <w:color w:val="000000"/>
                <w:sz w:val="24"/>
              </w:rPr>
            </w:pPr>
            <w:r>
              <w:rPr>
                <w:rFonts w:hint="eastAsia" w:ascii="仿宋_GB2312" w:hAnsi="仿宋" w:eastAsia="仿宋_GB2312"/>
                <w:color w:val="000000"/>
                <w:sz w:val="24"/>
              </w:rPr>
              <w:t>每天8小时</w:t>
            </w:r>
          </w:p>
        </w:tc>
      </w:tr>
      <w:tr w14:paraId="4EEC37BC">
        <w:tblPrEx>
          <w:tblCellMar>
            <w:top w:w="0" w:type="dxa"/>
            <w:left w:w="108" w:type="dxa"/>
            <w:bottom w:w="0" w:type="dxa"/>
            <w:right w:w="108" w:type="dxa"/>
          </w:tblCellMar>
        </w:tblPrEx>
        <w:trPr>
          <w:trHeight w:val="1075"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14:paraId="2299982E">
            <w:pPr>
              <w:jc w:val="center"/>
              <w:rPr>
                <w:rFonts w:ascii="仿宋_GB2312" w:hAnsi="仿宋" w:eastAsia="仿宋_GB2312"/>
                <w:sz w:val="24"/>
              </w:rPr>
            </w:pPr>
            <w:r>
              <w:rPr>
                <w:rFonts w:hint="eastAsia" w:ascii="仿宋_GB2312" w:hAnsi="仿宋" w:eastAsia="仿宋_GB2312"/>
                <w:sz w:val="24"/>
              </w:rPr>
              <w:t>室内保洁员</w:t>
            </w:r>
          </w:p>
        </w:tc>
        <w:tc>
          <w:tcPr>
            <w:tcW w:w="2835" w:type="dxa"/>
            <w:vMerge w:val="continue"/>
            <w:tcBorders>
              <w:left w:val="nil"/>
              <w:bottom w:val="single" w:color="auto" w:sz="4" w:space="0"/>
              <w:right w:val="single" w:color="auto" w:sz="4" w:space="0"/>
            </w:tcBorders>
            <w:noWrap w:val="0"/>
            <w:vAlign w:val="center"/>
          </w:tcPr>
          <w:p w14:paraId="120CAE3B">
            <w:pPr>
              <w:ind w:firstLine="480" w:firstLineChars="200"/>
              <w:jc w:val="left"/>
              <w:rPr>
                <w:rFonts w:ascii="仿宋_GB2312" w:hAnsi="仿宋" w:eastAsia="仿宋_GB2312" w:cs="宋体"/>
                <w:color w:val="000000"/>
                <w:sz w:val="24"/>
              </w:rPr>
            </w:pPr>
          </w:p>
        </w:tc>
        <w:tc>
          <w:tcPr>
            <w:tcW w:w="1560" w:type="dxa"/>
            <w:tcBorders>
              <w:top w:val="single" w:color="auto" w:sz="4" w:space="0"/>
              <w:left w:val="nil"/>
              <w:bottom w:val="single" w:color="auto" w:sz="4" w:space="0"/>
              <w:right w:val="single" w:color="auto" w:sz="4" w:space="0"/>
            </w:tcBorders>
            <w:noWrap w:val="0"/>
            <w:vAlign w:val="center"/>
          </w:tcPr>
          <w:p w14:paraId="35E8145D">
            <w:pPr>
              <w:jc w:val="left"/>
              <w:rPr>
                <w:rFonts w:ascii="仿宋_GB2312" w:hAnsi="仿宋" w:eastAsia="仿宋_GB2312" w:cs="宋体"/>
                <w:color w:val="000000"/>
                <w:sz w:val="24"/>
              </w:rPr>
            </w:pPr>
          </w:p>
        </w:tc>
        <w:tc>
          <w:tcPr>
            <w:tcW w:w="1701" w:type="dxa"/>
            <w:tcBorders>
              <w:top w:val="single" w:color="auto" w:sz="4" w:space="0"/>
              <w:left w:val="nil"/>
              <w:bottom w:val="single" w:color="auto" w:sz="4" w:space="0"/>
              <w:right w:val="single" w:color="auto" w:sz="4" w:space="0"/>
            </w:tcBorders>
            <w:noWrap w:val="0"/>
            <w:vAlign w:val="center"/>
          </w:tcPr>
          <w:p w14:paraId="7E19A19A">
            <w:pPr>
              <w:jc w:val="left"/>
              <w:rPr>
                <w:rFonts w:ascii="仿宋_GB2312" w:hAnsi="仿宋" w:eastAsia="仿宋_GB2312" w:cs="宋体"/>
                <w:color w:val="000000"/>
                <w:sz w:val="24"/>
              </w:rPr>
            </w:pPr>
            <w:r>
              <w:rPr>
                <w:rFonts w:hint="eastAsia" w:ascii="仿宋_GB2312" w:hAnsi="仿宋" w:eastAsia="仿宋_GB2312" w:cs="宋体"/>
                <w:color w:val="000000"/>
                <w:sz w:val="24"/>
              </w:rPr>
              <w:t>公共区域、公共卫生间、办公区域、排练室等卫生清洁。</w:t>
            </w:r>
          </w:p>
        </w:tc>
        <w:tc>
          <w:tcPr>
            <w:tcW w:w="850" w:type="dxa"/>
            <w:tcBorders>
              <w:top w:val="single" w:color="auto" w:sz="4" w:space="0"/>
              <w:left w:val="nil"/>
              <w:bottom w:val="single" w:color="auto" w:sz="4" w:space="0"/>
              <w:right w:val="single" w:color="auto" w:sz="4" w:space="0"/>
            </w:tcBorders>
            <w:noWrap w:val="0"/>
            <w:vAlign w:val="center"/>
          </w:tcPr>
          <w:p w14:paraId="538C85E7">
            <w:pPr>
              <w:jc w:val="left"/>
              <w:rPr>
                <w:rFonts w:ascii="仿宋_GB2312" w:hAnsi="仿宋" w:eastAsia="仿宋_GB2312" w:cs="宋体"/>
                <w:color w:val="000000"/>
                <w:sz w:val="24"/>
              </w:rPr>
            </w:pPr>
            <w:r>
              <w:rPr>
                <w:rFonts w:ascii="仿宋_GB2312" w:hAnsi="仿宋" w:eastAsia="仿宋_GB2312"/>
                <w:color w:val="000000"/>
                <w:sz w:val="24"/>
              </w:rPr>
              <w:t>6</w:t>
            </w:r>
            <w:r>
              <w:rPr>
                <w:rFonts w:hint="eastAsia" w:ascii="仿宋_GB2312" w:hAnsi="仿宋" w:eastAsia="仿宋_GB2312"/>
                <w:color w:val="000000"/>
                <w:sz w:val="24"/>
              </w:rPr>
              <w:t>人</w:t>
            </w:r>
          </w:p>
        </w:tc>
        <w:tc>
          <w:tcPr>
            <w:tcW w:w="1418" w:type="dxa"/>
            <w:tcBorders>
              <w:top w:val="single" w:color="auto" w:sz="4" w:space="0"/>
              <w:left w:val="nil"/>
              <w:bottom w:val="single" w:color="auto" w:sz="4" w:space="0"/>
              <w:right w:val="single" w:color="auto" w:sz="4" w:space="0"/>
            </w:tcBorders>
            <w:noWrap w:val="0"/>
            <w:vAlign w:val="center"/>
          </w:tcPr>
          <w:p w14:paraId="5D0CAF1E">
            <w:pPr>
              <w:jc w:val="left"/>
              <w:rPr>
                <w:rFonts w:ascii="仿宋_GB2312" w:hAnsi="仿宋" w:eastAsia="仿宋_GB2312"/>
                <w:color w:val="000000"/>
                <w:sz w:val="24"/>
              </w:rPr>
            </w:pPr>
            <w:r>
              <w:rPr>
                <w:rFonts w:hint="eastAsia" w:ascii="仿宋_GB2312" w:hAnsi="仿宋" w:eastAsia="仿宋_GB2312"/>
                <w:color w:val="000000"/>
                <w:sz w:val="24"/>
              </w:rPr>
              <w:t>每天8小时</w:t>
            </w:r>
          </w:p>
          <w:p w14:paraId="26A0EAE5">
            <w:pPr>
              <w:jc w:val="left"/>
              <w:rPr>
                <w:rFonts w:ascii="仿宋_GB2312" w:hAnsi="仿宋" w:eastAsia="仿宋_GB2312"/>
                <w:color w:val="000000"/>
                <w:sz w:val="24"/>
              </w:rPr>
            </w:pPr>
          </w:p>
          <w:p w14:paraId="422B4888">
            <w:pPr>
              <w:jc w:val="left"/>
              <w:rPr>
                <w:rFonts w:ascii="仿宋_GB2312" w:hAnsi="仿宋" w:eastAsia="仿宋_GB2312"/>
                <w:color w:val="000000"/>
                <w:sz w:val="24"/>
              </w:rPr>
            </w:pPr>
          </w:p>
          <w:p w14:paraId="179D8C09">
            <w:pPr>
              <w:jc w:val="left"/>
              <w:rPr>
                <w:rFonts w:ascii="仿宋_GB2312" w:hAnsi="仿宋" w:eastAsia="仿宋_GB2312"/>
                <w:color w:val="000000"/>
                <w:sz w:val="24"/>
              </w:rPr>
            </w:pPr>
          </w:p>
        </w:tc>
      </w:tr>
    </w:tbl>
    <w:p w14:paraId="784902B3">
      <w:pPr>
        <w:spacing w:line="440" w:lineRule="exact"/>
        <w:contextualSpacing/>
        <w:rPr>
          <w:rFonts w:ascii="宋体" w:hAnsi="宋体"/>
          <w:color w:val="000000"/>
          <w:sz w:val="24"/>
        </w:rPr>
      </w:pPr>
    </w:p>
    <w:p w14:paraId="10E133CC">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6</w:t>
      </w:r>
      <w:r>
        <w:rPr>
          <w:rFonts w:hint="eastAsia" w:ascii="宋体" w:hAnsi="宋体" w:cs="宋体"/>
          <w:color w:val="121212"/>
          <w:sz w:val="24"/>
          <w:szCs w:val="22"/>
        </w:rPr>
        <w:t>.工作人员</w:t>
      </w:r>
      <w:r>
        <w:rPr>
          <w:rFonts w:ascii="宋体" w:hAnsi="宋体" w:cs="宋体"/>
          <w:color w:val="121212"/>
          <w:sz w:val="24"/>
          <w:szCs w:val="22"/>
        </w:rPr>
        <w:t>不准脱岗、空岗、睡岗，不准迟到、早退；杜绝主责火灾责任事故，杜绝主责刑事案件及主责安全事故</w:t>
      </w:r>
      <w:r>
        <w:rPr>
          <w:rFonts w:hint="eastAsia" w:ascii="宋体" w:hAnsi="宋体" w:cs="宋体"/>
          <w:color w:val="121212"/>
          <w:sz w:val="24"/>
          <w:szCs w:val="22"/>
        </w:rPr>
        <w:t>。</w:t>
      </w:r>
    </w:p>
    <w:p w14:paraId="73D09DD9">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7</w:t>
      </w:r>
      <w:r>
        <w:rPr>
          <w:rFonts w:hint="eastAsia" w:ascii="宋体" w:hAnsi="宋体" w:cs="宋体"/>
          <w:color w:val="121212"/>
          <w:sz w:val="24"/>
          <w:szCs w:val="22"/>
        </w:rPr>
        <w:t>.全员均有义务在发生问题及隐患后及时报相关部门，并采取相关措施。</w:t>
      </w:r>
    </w:p>
    <w:p w14:paraId="71CFD64C">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8</w:t>
      </w:r>
      <w:r>
        <w:rPr>
          <w:rFonts w:hint="eastAsia" w:ascii="宋体" w:hAnsi="宋体" w:cs="宋体"/>
          <w:color w:val="121212"/>
          <w:sz w:val="24"/>
          <w:szCs w:val="22"/>
        </w:rPr>
        <w:t>.日常工作中严禁与演职员发生冲突，如遇纠纷第一时间上报采购人。</w:t>
      </w:r>
    </w:p>
    <w:p w14:paraId="59E5A543">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9</w:t>
      </w:r>
      <w:r>
        <w:rPr>
          <w:rFonts w:hint="eastAsia" w:ascii="宋体" w:hAnsi="宋体" w:cs="宋体"/>
          <w:color w:val="121212"/>
          <w:sz w:val="24"/>
          <w:szCs w:val="22"/>
        </w:rPr>
        <w:t>.拾金不昧，捡到失物，需交还失主或上交甲方有关部门。</w:t>
      </w:r>
    </w:p>
    <w:p w14:paraId="21D81D8A">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0</w:t>
      </w:r>
      <w:r>
        <w:rPr>
          <w:rFonts w:hint="eastAsia" w:ascii="宋体" w:hAnsi="宋体" w:cs="宋体"/>
          <w:color w:val="121212"/>
          <w:sz w:val="24"/>
          <w:szCs w:val="22"/>
        </w:rPr>
        <w:t>.严禁向访客、采购人职工等索要劳务费、礼品等；严禁利用工作之便在服务中刁难、要挟访客、采购人职工等。</w:t>
      </w:r>
    </w:p>
    <w:p w14:paraId="5E3AD136">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1</w:t>
      </w:r>
      <w:r>
        <w:rPr>
          <w:rFonts w:hint="eastAsia" w:ascii="宋体" w:hAnsi="宋体" w:cs="宋体"/>
          <w:color w:val="121212"/>
          <w:sz w:val="24"/>
          <w:szCs w:val="22"/>
        </w:rPr>
        <w:t>.严禁携带易燃易爆等危险品进入管理区域，不得在更衣箱内存放贵重物品；楼内严禁吸烟。</w:t>
      </w:r>
    </w:p>
    <w:p w14:paraId="157A49D9">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2</w:t>
      </w:r>
      <w:r>
        <w:rPr>
          <w:rFonts w:hint="eastAsia" w:ascii="宋体" w:hAnsi="宋体" w:cs="宋体"/>
          <w:color w:val="121212"/>
          <w:sz w:val="24"/>
          <w:szCs w:val="22"/>
        </w:rPr>
        <w:t>. 携带物品离团，应主动接受安保人员的检查；携带公物离团，应出示有关部门签办的“物品携出证”。</w:t>
      </w:r>
    </w:p>
    <w:p w14:paraId="0C9479DD">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3</w:t>
      </w:r>
      <w:r>
        <w:rPr>
          <w:rFonts w:hint="eastAsia" w:ascii="宋体" w:hAnsi="宋体" w:cs="宋体"/>
          <w:color w:val="121212"/>
          <w:sz w:val="24"/>
          <w:szCs w:val="22"/>
        </w:rPr>
        <w:t>.物业人员主要职责：</w:t>
      </w:r>
    </w:p>
    <w:p w14:paraId="2925CA31">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（注：以下所有涉及检修的内容为基本检修，涉及专项维保的服务内容需做好日常运行、巡检、报修工作，并配合专项维保单位做好维修工作。）</w:t>
      </w:r>
    </w:p>
    <w:p w14:paraId="0EEC7ED7">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（1）设备设施的移交、管理</w:t>
      </w:r>
    </w:p>
    <w:p w14:paraId="2B6DE450">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协助乐团对物业管理所需的图纸和资料等的接收、整理和归档。</w:t>
      </w:r>
    </w:p>
    <w:p w14:paraId="2D24CF5E">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协助乐团做好移交过程中各设备的操作、维保等资料的接收、整理和归档。</w:t>
      </w:r>
    </w:p>
    <w:p w14:paraId="6E75DC0A">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协助乐团根据交付资料对现场设施设备的实物实施核点及质量检查，对不符合项记录并协助乐团进行整改。</w:t>
      </w:r>
    </w:p>
    <w:p w14:paraId="7E229722">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 xml:space="preserve">协助乐团对各交付系统实施运行检查，对不符合项记录并协助乐团进行整改。 </w:t>
      </w:r>
    </w:p>
    <w:p w14:paraId="209ADBCB">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协助乐团分批完成交付手续的签署。</w:t>
      </w:r>
    </w:p>
    <w:p w14:paraId="780D99E3">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（2）中央空调及空调自控系统：</w:t>
      </w:r>
    </w:p>
    <w:p w14:paraId="080192E4">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全年365天及每日24小时对该系统设备设施的运行、监测和管理，确保乐团日常业务的正常开展。根据中央空调系统的运行技术数据和运行跟踪监测情况，制订月度、季度和年度维护、保养和改造计划，报乐团主管部门审核，并落实实施。做好中央空调各类设备设施日常运行的巡视、检查、故障维修和应急情况的处理。对中央空调各类设备设施的运行按质量管理体系要求和标准进行运行、检测、监控、维护和保养，确保中央空调系统设备设施正常运转和设备设施的安全。空调箱、风机：开机使用前和季节转换前各检查一次运行电流，滤网、积水盘清洗（但积水盘内有垃圾应及时清除）、检查电气控制及接地保护。对风机进行保养、加油，接地线路检查，绝缘电阻测试。每半年对加湿器、风阀保养、加油。对过滤网、出风口进行清洗、消毒和清洁保养。定期对风管的进行漏风巡查。</w:t>
      </w:r>
    </w:p>
    <w:p w14:paraId="561590A4">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（3）供配电系统：</w:t>
      </w:r>
    </w:p>
    <w:p w14:paraId="20473396">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全年365天及每日24小时对该系统设备设施的运行、监测和管理，确保乐团日常业务的正常开展。根据供配电系统的运行技术数据和运行跟踪监测情况，制订月度和季度维护、保养和改造计划，报乐团主管部门审核，并落实实施。做好供配电系统等设备设施日常运行的巡视、检查、故障维修和应急情况的处理。对供配电各类设备设施的运行按质量管理体系要求和标准进行运行、检测、监控、维护和保养，确保供配电系统设备设施正常运转率达100%和设备设施的安全。</w:t>
      </w:r>
    </w:p>
    <w:p w14:paraId="336D49F1">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每月对所有配电系统动力、照明、空调等设备设施根据设备维修计划定期进行维护保养（除特殊设备外）。定期检查各类动力、空调、照明的配电箱。定期维护光伏系统的设备设施。每半年组织对所有配电箱进行除尘清扫。每季对继电器控制柜内的元器件检查一次，并予以清洁。对各导线的接头紧固。做好技术、质量和班组行政工作，对班组工作进行协调、监督、考核和管理。做好专业技能员工的人员培训、人员储备和人员稳定工作。做好专业设备、工具和材料的维护保管工作。听从运维管理平台的调度指挥工作，主动反馈工作状态，并积极协助中控室调度管理。保持工作场所环境的干净、卫生和整洁。</w:t>
      </w:r>
    </w:p>
    <w:p w14:paraId="58A98A02">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（4）给排水设备系统：</w:t>
      </w:r>
    </w:p>
    <w:p w14:paraId="0EC11266">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全年365天及每日24小时对该系统设备设施的运行、监测和管理，确保乐团日常业务的正常开展。根据给排水系统的运行技术数据和运行跟踪监测情况，制订月度和季度维护、保养和改造计划，报乐团主管部门审核，并落实实施。做好给排水系统设备设施日常运行的巡视、检查、故障维修和应急情况的处理。对给排水各类设备设施的运行按质量管理体系要求和标准进行运行、检测、监控、维护和保养，确保给排水系统设备设施正常运转和设备设施的安全。每半年对化粪池、雨污水检查井进行清掏。</w:t>
      </w:r>
    </w:p>
    <w:p w14:paraId="33526385">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（5）弱电系统：</w:t>
      </w:r>
    </w:p>
    <w:p w14:paraId="0A408C94">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全年365天及每日24小时对该系统设备设施的运行、监测和管理，确保乐团电话通讯网络畅通，网络交换机维护，确保弱电系统设备及智能化楼宇管理的正常运行，维护保养、检修、记录符合规范。根据通讯系统的运行技术数据和运行跟踪监测情况，制订月度和季度维护、保养和改造计划，报乐团主管部门审核，并落实实施。做好给弱电系统设备设施日常运行的巡视、检查、故障维修和应急情况的处理。检修各种暖通、给排水控制设备。检修各种弱电控制设备。检修电视信号接收、信号处理、传输设备末端插座及其它音视频播放设备。确保弱电系统各设备以及设备之间的连接线路完好无损，无缺；各设备运行、联动控制正常；电源供应正常。主机、末端设备和各接线箱内、外部清洁，无杂物，无积灰，无锈蚀，无损坏；接线整齐，温度正常；各种标识、标签、编号准确完好。故障修复及时；维修资料和记录齐全。对各类设备设施的运行按质量管理体系要求和标准进行运行、检测、监控、维护和保养，确保通讯系统设备设施正常运转和设备设施的安全。听从运维管理平台的调度指挥工作，主动反馈工作状态，并积极协助中控室调度管理。做好技术、质量和班组行政工作，对班组工作进行协调、监督、考核和管理。做好专业技能员工的人员培训、人员储备和人员稳定工作。做好专业设备、工具和材料的维护保管工作。做好语音设备维护工作，确保乐团所内外通讯服务的迅速、准确、安全和方便。保持工作场所环境的干净、卫生和整洁。</w:t>
      </w:r>
    </w:p>
    <w:p w14:paraId="64B246CE">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（6）物业服务热线：</w:t>
      </w:r>
    </w:p>
    <w:p w14:paraId="23F2CD7F">
      <w:pPr>
        <w:spacing w:line="440" w:lineRule="exact"/>
        <w:ind w:firstLine="470" w:firstLineChars="196"/>
        <w:contextualSpacing/>
        <w:rPr>
          <w:rFonts w:ascii="宋体" w:hAnsi="宋体" w:cs="宋体"/>
          <w:color w:val="121212"/>
          <w:sz w:val="24"/>
          <w:szCs w:val="22"/>
          <w:highlight w:val="red"/>
        </w:rPr>
      </w:pPr>
      <w:r>
        <w:rPr>
          <w:rFonts w:hint="eastAsia" w:ascii="宋体" w:hAnsi="宋体" w:cs="宋体"/>
          <w:color w:val="121212"/>
          <w:sz w:val="24"/>
          <w:szCs w:val="22"/>
        </w:rPr>
        <w:t>做好全年365天及每日24小时乐团客户咨询及报修服务工作。</w:t>
      </w:r>
    </w:p>
    <w:p w14:paraId="2ECFC96C">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（7）建筑设施养护：</w:t>
      </w:r>
    </w:p>
    <w:p w14:paraId="5FC30C11">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全年365天及每日24小时对各类建筑设施的运行、监测和管理，确保乐团日常业务的正常开展。做好房屋建筑设施的日常巡视、检查、维修和应急情况的处理。根据各类建筑设施的保养、跟踪和监测情况，制订月度、季度和年度维护、保养和改造计划，报采购单位主管部门审核，并落实实施。对各类建筑设施的运行按质量管理体系要求和标准进行运行、检测、监控、维护和保养，确保建筑设施的完好和安全。做好技术、质量和班组行政工作，对班组工作进行协调、监督、考核和管理。做好专业技能员工的人员培训、人员储备和人员稳定工作。落实各类建筑设施的应急维修服务。做好专业设备工具和材料的维护保管工作。听从运维管理平台的调度指挥工作，主动反馈工作状态，并积极协助中控室调度管理。保持工作场所环境的干净、卫生和整洁。</w:t>
      </w:r>
    </w:p>
    <w:p w14:paraId="20C45B81">
      <w:pPr>
        <w:spacing w:line="440" w:lineRule="exact"/>
        <w:contextualSpacing/>
        <w:rPr>
          <w:rFonts w:ascii="宋体" w:hAnsi="宋体" w:cs="宋体"/>
          <w:b/>
          <w:color w:val="121212"/>
          <w:sz w:val="24"/>
          <w:szCs w:val="22"/>
        </w:rPr>
      </w:pPr>
      <w:r>
        <w:rPr>
          <w:rFonts w:hint="eastAsia" w:ascii="宋体" w:hAnsi="宋体" w:cs="宋体"/>
          <w:b/>
          <w:color w:val="121212"/>
          <w:sz w:val="24"/>
          <w:szCs w:val="22"/>
        </w:rPr>
        <w:t>九、考核管理</w:t>
      </w:r>
    </w:p>
    <w:p w14:paraId="3C7BC0A1">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采购人对中标人管理工作质量进行监督和考核：</w:t>
      </w:r>
    </w:p>
    <w:p w14:paraId="7CC6ECC3">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（一）、组织形式</w:t>
      </w:r>
    </w:p>
    <w:p w14:paraId="6D05FEF7">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由采购单位物业运维管理工作相关的处室组成考评小组，负责对服务单位进行考核。</w:t>
      </w:r>
    </w:p>
    <w:p w14:paraId="343003CE">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（二）、考评依据</w:t>
      </w:r>
    </w:p>
    <w:p w14:paraId="7D771542">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委托合同</w:t>
      </w:r>
    </w:p>
    <w:p w14:paraId="76FDB1AC">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行业及法律法规</w:t>
      </w:r>
    </w:p>
    <w:p w14:paraId="26FB2129">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与完成本项目相关的管理体系认证标准</w:t>
      </w:r>
    </w:p>
    <w:p w14:paraId="010C519E">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北京交响乐团管理文件、作业指导书</w:t>
      </w:r>
    </w:p>
    <w:p w14:paraId="5BF54AFA">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招标文件</w:t>
      </w:r>
    </w:p>
    <w:p w14:paraId="5AF2C491">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投标文件</w:t>
      </w:r>
    </w:p>
    <w:p w14:paraId="6CF71A88">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（三）、考评形式</w:t>
      </w:r>
    </w:p>
    <w:p w14:paraId="5508B27C">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考评分为季度考核及年度考核。</w:t>
      </w:r>
    </w:p>
    <w:p w14:paraId="0B83845A">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1.季度考核</w:t>
      </w:r>
    </w:p>
    <w:p w14:paraId="0CF82AE0">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季度考核前，服务单位需向采购单位提供季度工作小结，小结中需涵盖日常工作及突发事件处置等情况汇报，各类物业运维数据统计等，此外报告还需包括：a、人员季度考勤情况分析表；b、季度报表或项目支出凭证；c、资产及物耗领用情况表；d、季度服务整改情况表；e、岗位培训记录表。</w:t>
      </w:r>
    </w:p>
    <w:p w14:paraId="0E229B1B">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季度考核实行扣分制，季度考核表将于合同签订后制定。</w:t>
      </w:r>
    </w:p>
    <w:p w14:paraId="6B7C78AD">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季度考核由采购单位组织考评小组，按照确定的季度考核表执行考核。</w:t>
      </w:r>
    </w:p>
    <w:p w14:paraId="5DA7D665">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季度考核以不少于一次的检查方式对服务单位的日常管理工作进行考核，形成管理工作考核表，并请被考核部门负责人在考核表上签字确认。</w:t>
      </w:r>
    </w:p>
    <w:p w14:paraId="35A485D5">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针对扣分项，乙方需明确具体整改措施，整改情况纳入下一季度考核。</w:t>
      </w:r>
    </w:p>
    <w:p w14:paraId="1F2C6DE6">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人员流动性及在岗率考核：主要岗位、重要岗位人员的离职或辞退需交采购单位备案；人员在岗情况及在岗率请被考核部门负责人在考核表上签字确认。</w:t>
      </w:r>
    </w:p>
    <w:p w14:paraId="4C02E024">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所提交的财务报表或项目支出凭证所反映的数据和内容的一致性纳入考核。</w:t>
      </w:r>
    </w:p>
    <w:p w14:paraId="5E2ADA05">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采购单位考评小组以外的工作人员在工作中发现服务单位的不符合项可报告考评小组，由考评小组进行调查经确认后纳入考核依据。</w:t>
      </w:r>
    </w:p>
    <w:p w14:paraId="2FFA92F8">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考核结果在下季第一个月</w:t>
      </w:r>
      <w:r>
        <w:rPr>
          <w:rFonts w:ascii="宋体" w:hAnsi="宋体" w:cs="宋体"/>
          <w:color w:val="121212"/>
          <w:sz w:val="24"/>
          <w:szCs w:val="22"/>
        </w:rPr>
        <w:t>20</w:t>
      </w:r>
      <w:r>
        <w:rPr>
          <w:rFonts w:hint="eastAsia" w:ascii="宋体" w:hAnsi="宋体" w:cs="宋体"/>
          <w:color w:val="121212"/>
          <w:sz w:val="24"/>
          <w:szCs w:val="22"/>
        </w:rPr>
        <w:t>日前向服务单位通报，服务单位如有异议，可在一周内申请复议。</w:t>
      </w:r>
    </w:p>
    <w:p w14:paraId="0CB80DFC">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2.年度考核</w:t>
      </w:r>
    </w:p>
    <w:p w14:paraId="0D9F1063">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年度考核实行扣分制，具体参照季度考核内容。</w:t>
      </w:r>
    </w:p>
    <w:p w14:paraId="05DC9541">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（四）、考评结果</w:t>
      </w:r>
    </w:p>
    <w:p w14:paraId="08F91BB8">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季度考核总分≥</w:t>
      </w:r>
      <w:r>
        <w:rPr>
          <w:rFonts w:ascii="宋体" w:hAnsi="宋体" w:cs="宋体"/>
          <w:color w:val="121212"/>
          <w:sz w:val="24"/>
          <w:szCs w:val="22"/>
        </w:rPr>
        <w:t>9</w:t>
      </w:r>
      <w:r>
        <w:rPr>
          <w:rFonts w:hint="eastAsia" w:ascii="宋体" w:hAnsi="宋体" w:cs="宋体"/>
          <w:color w:val="121212"/>
          <w:sz w:val="24"/>
          <w:szCs w:val="22"/>
        </w:rPr>
        <w:t>0分，为“优秀”；</w:t>
      </w:r>
    </w:p>
    <w:p w14:paraId="01A4D7FA">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季度考核总分≥8</w:t>
      </w:r>
      <w:r>
        <w:rPr>
          <w:rFonts w:ascii="宋体" w:hAnsi="宋体" w:cs="宋体"/>
          <w:color w:val="121212"/>
          <w:sz w:val="24"/>
          <w:szCs w:val="22"/>
        </w:rPr>
        <w:t>0</w:t>
      </w:r>
      <w:r>
        <w:rPr>
          <w:rFonts w:hint="eastAsia" w:ascii="宋体" w:hAnsi="宋体" w:cs="宋体"/>
          <w:color w:val="121212"/>
          <w:sz w:val="24"/>
          <w:szCs w:val="22"/>
        </w:rPr>
        <w:t>分，为“达标”；</w:t>
      </w:r>
    </w:p>
    <w:p w14:paraId="606B9010">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季度考核总分</w:t>
      </w:r>
      <w:r>
        <w:rPr>
          <w:rFonts w:ascii="宋体" w:hAnsi="宋体" w:cs="宋体"/>
          <w:color w:val="121212"/>
          <w:sz w:val="24"/>
          <w:szCs w:val="22"/>
        </w:rPr>
        <w:t>&lt;</w:t>
      </w:r>
      <w:r>
        <w:rPr>
          <w:rFonts w:hint="eastAsia" w:ascii="宋体" w:hAnsi="宋体" w:cs="宋体"/>
          <w:color w:val="121212"/>
          <w:sz w:val="24"/>
          <w:szCs w:val="22"/>
        </w:rPr>
        <w:t>8</w:t>
      </w:r>
      <w:r>
        <w:rPr>
          <w:rFonts w:ascii="宋体" w:hAnsi="宋体" w:cs="宋体"/>
          <w:color w:val="121212"/>
          <w:sz w:val="24"/>
          <w:szCs w:val="22"/>
        </w:rPr>
        <w:t>0</w:t>
      </w:r>
      <w:r>
        <w:rPr>
          <w:rFonts w:hint="eastAsia" w:ascii="宋体" w:hAnsi="宋体" w:cs="宋体"/>
          <w:color w:val="121212"/>
          <w:sz w:val="24"/>
          <w:szCs w:val="22"/>
        </w:rPr>
        <w:t>分，为“不达标”全年考核平均分不达标，经过整改不见效的，采购单位有权直接解除合同。</w:t>
      </w:r>
    </w:p>
    <w:p w14:paraId="7806480D">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在合同项下的责任范围内，在考核期内，发生以下任何一种情况，年度考核为不合格，采购单位有权直接解除合同。</w:t>
      </w:r>
    </w:p>
    <w:p w14:paraId="30966DBE">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发生重大人身伤亡事故；</w:t>
      </w:r>
    </w:p>
    <w:p w14:paraId="101B8842">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发生重大责任事故（影响重要接待活动）；</w:t>
      </w:r>
    </w:p>
    <w:p w14:paraId="42A6A2B5">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严重影响北京交响乐团品牌和对外形象及利益（以不正当行为占有客户、顾客和采购单位的财产、泄露有关保密信息等而导致采购单位形象或利益受损）。</w:t>
      </w:r>
    </w:p>
    <w:p w14:paraId="6BEB5B34">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考核加分</w:t>
      </w:r>
    </w:p>
    <w:p w14:paraId="0DE1B1F6">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服务单位表现突出时，给予年度考核加分（加至100分止），突出表现加分如下：</w:t>
      </w:r>
    </w:p>
    <w:p w14:paraId="59B4DF71">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有效处置突发事件或员工有见义勇为行为并为北京交响乐团挽回损失的；</w:t>
      </w:r>
    </w:p>
    <w:p w14:paraId="4819CA4C">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为配合北京交响乐获得市级以上荣誉做出突出成绩的；</w:t>
      </w:r>
    </w:p>
    <w:p w14:paraId="06632E3A">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在配合重大活动保障过程中做出成绩的；</w:t>
      </w:r>
    </w:p>
    <w:p w14:paraId="2BAA4F38">
      <w:pPr>
        <w:spacing w:line="440" w:lineRule="exact"/>
        <w:ind w:firstLine="480" w:firstLineChars="200"/>
        <w:contextualSpacing/>
        <w:rPr>
          <w:rFonts w:ascii="宋体" w:hAnsi="宋体" w:cs="宋体"/>
          <w:color w:val="121212"/>
          <w:sz w:val="24"/>
          <w:szCs w:val="22"/>
        </w:rPr>
      </w:pPr>
      <w:r>
        <w:rPr>
          <w:rFonts w:hint="eastAsia" w:ascii="宋体" w:hAnsi="宋体" w:cs="宋体"/>
          <w:color w:val="121212"/>
          <w:sz w:val="24"/>
          <w:szCs w:val="22"/>
        </w:rPr>
        <w:t>有其他突出表现或成绩，为北京交响乐赢得良好社会形象或经济效益的。</w:t>
      </w:r>
    </w:p>
    <w:p w14:paraId="468AB4BB">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具体加分因实际情况而定。</w:t>
      </w:r>
    </w:p>
    <w:p w14:paraId="05FE48A0">
      <w:pPr>
        <w:spacing w:line="440" w:lineRule="exact"/>
        <w:contextualSpacing/>
        <w:rPr>
          <w:rFonts w:ascii="宋体" w:hAnsi="宋体" w:cs="宋体"/>
          <w:b/>
          <w:color w:val="121212"/>
          <w:sz w:val="24"/>
          <w:szCs w:val="22"/>
        </w:rPr>
      </w:pPr>
      <w:r>
        <w:rPr>
          <w:rFonts w:hint="eastAsia" w:ascii="宋体" w:hAnsi="宋体" w:cs="宋体"/>
          <w:b/>
          <w:color w:val="121212"/>
          <w:sz w:val="24"/>
          <w:szCs w:val="22"/>
        </w:rPr>
        <w:t>十、关于物业管理费用问题的说明</w:t>
      </w:r>
    </w:p>
    <w:p w14:paraId="5A2EC882">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（一）采购单位负责的费用</w:t>
      </w:r>
    </w:p>
    <w:p w14:paraId="2A94DED4">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1.采购单位负责为服务单位提供必要的管理用房。</w:t>
      </w:r>
    </w:p>
    <w:p w14:paraId="6AF8BBEA">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2.采购单位负责按合同向服务单位支付服务费；</w:t>
      </w:r>
    </w:p>
    <w:p w14:paraId="5A17266A">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3.采购单位负责水电等能源费用。</w:t>
      </w:r>
    </w:p>
    <w:p w14:paraId="278FC559">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4.采购单位负责单价超过500元以上的维修物料费用。</w:t>
      </w:r>
    </w:p>
    <w:p w14:paraId="4544595C">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5.关键设备及专业性极强的设备如：电梯、消防系统、智能化系统等多项维护工作由采购单位与相关专业单位签订维保协议并承担费用，服务单位负责对各维保单位进行日常统筹管理，对采购单位负责。</w:t>
      </w:r>
    </w:p>
    <w:p w14:paraId="5446F04F">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6．采购单位负责大楼内设备、设施的年检、检测、水箱清洗费用。</w:t>
      </w:r>
    </w:p>
    <w:p w14:paraId="7A5853AB">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（二）服务单位承担的费用</w:t>
      </w:r>
    </w:p>
    <w:p w14:paraId="65673EA4">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 服务单位自行提供必要的办公家具、设备和维修设备、工具。</w:t>
      </w:r>
    </w:p>
    <w:p w14:paraId="19E65587">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2. 服务单位负责物业管理服务项目的人员全部费用（含工资、工装、劳保用品、办公用品、社会保险、公积金、员工培训、证件办理、体检、餐费、住宿费、交通费、福利奖励、年休假、加班费等）。</w:t>
      </w:r>
    </w:p>
    <w:p w14:paraId="2AB6494D">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3. 服务单位负责物业管理服务项目的管理费及税金等。</w:t>
      </w:r>
    </w:p>
    <w:p w14:paraId="06D6811E">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4. 服务单位负责500元以内的维修工具和维修物料费用。</w:t>
      </w:r>
    </w:p>
    <w:p w14:paraId="6AA01E28">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5. 服务单位应仔细测算相关设备、工具使用费用，设备工具的采购费用及大型设备的租赁费用由服务单位自行承担，服务单位需编制详细清单并保障服务。</w:t>
      </w:r>
    </w:p>
    <w:p w14:paraId="1786711E">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6.其他服务单位自身发生的费用。1.本合同项下中标人向甲方提供的服务合同总价为</w:t>
      </w:r>
      <w:r>
        <w:rPr>
          <w:rFonts w:ascii="宋体" w:hAnsi="宋体" w:cs="宋体"/>
          <w:color w:val="121212"/>
          <w:sz w:val="24"/>
          <w:szCs w:val="22"/>
          <w:u w:val="single"/>
        </w:rPr>
        <w:t xml:space="preserve">        </w:t>
      </w:r>
      <w:r>
        <w:rPr>
          <w:rFonts w:hint="eastAsia" w:ascii="宋体" w:hAnsi="宋体" w:cs="宋体"/>
          <w:color w:val="121212"/>
          <w:sz w:val="24"/>
          <w:szCs w:val="22"/>
        </w:rPr>
        <w:t>元（大写：</w:t>
      </w:r>
      <w:r>
        <w:rPr>
          <w:rFonts w:hint="eastAsia" w:ascii="宋体" w:hAnsi="宋体" w:cs="宋体"/>
          <w:color w:val="121212"/>
          <w:sz w:val="24"/>
          <w:szCs w:val="22"/>
          <w:u w:val="single"/>
        </w:rPr>
        <w:t xml:space="preserve"> </w:t>
      </w:r>
      <w:r>
        <w:rPr>
          <w:rFonts w:ascii="宋体" w:hAnsi="宋体" w:cs="宋体"/>
          <w:color w:val="121212"/>
          <w:sz w:val="24"/>
          <w:szCs w:val="22"/>
          <w:u w:val="single"/>
        </w:rPr>
        <w:t xml:space="preserve">       </w:t>
      </w:r>
      <w:r>
        <w:rPr>
          <w:rFonts w:hint="eastAsia" w:ascii="宋体" w:hAnsi="宋体" w:cs="宋体"/>
          <w:color w:val="121212"/>
          <w:sz w:val="24"/>
          <w:szCs w:val="22"/>
        </w:rPr>
        <w:t>），分项价格详见附件，该价格为中标履行本合同项下服务的全部费用，甲方不再另行向乙方支付费用。合同验收和结算时，甲方有权根据乙方实际履行情况调整合同总价，若结算价格超过本合同总价的，仍按本合同总价进行结算。</w:t>
      </w:r>
    </w:p>
    <w:p w14:paraId="6F42FFF5">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3.</w:t>
      </w:r>
      <w:r>
        <w:rPr>
          <w:rFonts w:hint="eastAsia" w:ascii="宋体" w:hAnsi="宋体" w:cs="宋体"/>
          <w:color w:val="121212"/>
          <w:sz w:val="24"/>
          <w:szCs w:val="22"/>
        </w:rPr>
        <w:t>本合同签订后中标人进驻采购人指定的位置进行服务，待采购人财政资金到拉后7个工作日内，向中标人支付第一笔款</w:t>
      </w:r>
      <w:r>
        <w:rPr>
          <w:rFonts w:ascii="宋体" w:hAnsi="宋体" w:cs="宋体"/>
          <w:color w:val="121212"/>
          <w:sz w:val="24"/>
          <w:szCs w:val="22"/>
          <w:u w:val="single"/>
        </w:rPr>
        <w:t xml:space="preserve">         </w:t>
      </w:r>
      <w:r>
        <w:rPr>
          <w:rFonts w:hint="eastAsia" w:ascii="宋体" w:hAnsi="宋体" w:cs="宋体"/>
          <w:color w:val="121212"/>
          <w:sz w:val="24"/>
          <w:szCs w:val="22"/>
        </w:rPr>
        <w:t>元（大写：</w:t>
      </w:r>
      <w:r>
        <w:rPr>
          <w:rFonts w:hint="eastAsia" w:ascii="宋体" w:hAnsi="宋体" w:cs="宋体"/>
          <w:color w:val="121212"/>
          <w:sz w:val="24"/>
          <w:szCs w:val="22"/>
          <w:u w:val="single"/>
        </w:rPr>
        <w:t xml:space="preserve"> </w:t>
      </w:r>
      <w:r>
        <w:rPr>
          <w:rFonts w:ascii="宋体" w:hAnsi="宋体" w:cs="宋体"/>
          <w:color w:val="121212"/>
          <w:sz w:val="24"/>
          <w:szCs w:val="22"/>
          <w:u w:val="single"/>
        </w:rPr>
        <w:t xml:space="preserve">     </w:t>
      </w:r>
      <w:r>
        <w:rPr>
          <w:rFonts w:hint="eastAsia" w:ascii="宋体" w:hAnsi="宋体" w:cs="宋体"/>
          <w:color w:val="121212"/>
          <w:sz w:val="24"/>
          <w:szCs w:val="22"/>
        </w:rPr>
        <w:t>），即合同总价</w:t>
      </w:r>
      <w:r>
        <w:rPr>
          <w:rFonts w:ascii="宋体" w:hAnsi="宋体" w:cs="宋体"/>
          <w:color w:val="121212"/>
          <w:sz w:val="24"/>
          <w:szCs w:val="22"/>
          <w:u w:val="single"/>
        </w:rPr>
        <w:t>5</w:t>
      </w:r>
      <w:r>
        <w:rPr>
          <w:rFonts w:hint="eastAsia" w:ascii="宋体" w:hAnsi="宋体" w:cs="宋体"/>
          <w:color w:val="121212"/>
          <w:sz w:val="24"/>
          <w:szCs w:val="22"/>
          <w:u w:val="single"/>
        </w:rPr>
        <w:t>0</w:t>
      </w:r>
      <w:r>
        <w:rPr>
          <w:rFonts w:hint="eastAsia" w:ascii="宋体" w:hAnsi="宋体" w:cs="宋体"/>
          <w:color w:val="121212"/>
          <w:sz w:val="24"/>
          <w:szCs w:val="22"/>
        </w:rPr>
        <w:t>%。</w:t>
      </w:r>
    </w:p>
    <w:p w14:paraId="6388F576">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4.</w:t>
      </w:r>
      <w:r>
        <w:rPr>
          <w:rFonts w:hint="eastAsia" w:ascii="宋体" w:hAnsi="宋体" w:cs="宋体"/>
          <w:color w:val="121212"/>
          <w:sz w:val="24"/>
          <w:szCs w:val="22"/>
        </w:rPr>
        <w:t>中标方完成本合同项下的服务，向采购人交付服务成果，经甲方验收合格，运行至2</w:t>
      </w:r>
      <w:r>
        <w:rPr>
          <w:rFonts w:ascii="宋体" w:hAnsi="宋体" w:cs="宋体"/>
          <w:color w:val="121212"/>
          <w:sz w:val="24"/>
          <w:szCs w:val="22"/>
        </w:rPr>
        <w:t>026年12月初，</w:t>
      </w:r>
      <w:r>
        <w:rPr>
          <w:rFonts w:hint="eastAsia" w:ascii="宋体" w:hAnsi="宋体" w:cs="宋体"/>
          <w:color w:val="121212"/>
          <w:sz w:val="24"/>
          <w:szCs w:val="22"/>
        </w:rPr>
        <w:t>甲方有较高的满意度且对服务无</w:t>
      </w:r>
      <w:r>
        <w:rPr>
          <w:rFonts w:hint="eastAsia" w:ascii="宋体" w:hAnsi="宋体" w:cs="宋体"/>
          <w:color w:val="121212"/>
          <w:sz w:val="24"/>
          <w:szCs w:val="22"/>
          <w:u w:val="single"/>
        </w:rPr>
        <w:t xml:space="preserve"> </w:t>
      </w:r>
      <w:r>
        <w:rPr>
          <w:rFonts w:ascii="宋体" w:hAnsi="宋体" w:cs="宋体"/>
          <w:color w:val="121212"/>
          <w:sz w:val="24"/>
          <w:szCs w:val="22"/>
          <w:u w:val="single"/>
        </w:rPr>
        <w:t xml:space="preserve">                </w:t>
      </w:r>
      <w:r>
        <w:rPr>
          <w:rFonts w:hint="eastAsia" w:ascii="宋体" w:hAnsi="宋体" w:cs="宋体"/>
          <w:color w:val="121212"/>
          <w:sz w:val="24"/>
          <w:szCs w:val="22"/>
          <w:u w:val="single"/>
        </w:rPr>
        <w:t>整</w:t>
      </w:r>
      <w:r>
        <w:rPr>
          <w:rFonts w:hint="eastAsia" w:ascii="宋体" w:hAnsi="宋体" w:cs="宋体"/>
          <w:color w:val="121212"/>
          <w:sz w:val="24"/>
          <w:szCs w:val="22"/>
        </w:rPr>
        <w:t>）。</w:t>
      </w:r>
    </w:p>
    <w:p w14:paraId="2EF75D9C">
      <w:pPr>
        <w:spacing w:line="440" w:lineRule="exact"/>
        <w:ind w:firstLine="0" w:firstLineChars="0"/>
        <w:contextualSpacing/>
        <w:rPr>
          <w:rFonts w:ascii="宋体" w:hAnsi="宋体" w:cs="宋体"/>
          <w:color w:val="121212"/>
          <w:sz w:val="24"/>
          <w:szCs w:val="22"/>
        </w:rPr>
      </w:pPr>
    </w:p>
    <w:p w14:paraId="1924FA29">
      <w:pPr>
        <w:spacing w:line="440" w:lineRule="exact"/>
        <w:contextualSpacing/>
        <w:rPr>
          <w:rFonts w:ascii="宋体" w:hAnsi="宋体" w:cs="宋体"/>
          <w:bCs/>
          <w:color w:val="121212"/>
          <w:sz w:val="24"/>
          <w:szCs w:val="22"/>
        </w:rPr>
      </w:pPr>
      <w:r>
        <w:rPr>
          <w:rFonts w:ascii="宋体" w:hAnsi="宋体" w:cs="宋体"/>
          <w:bCs/>
          <w:color w:val="121212"/>
          <w:sz w:val="24"/>
          <w:szCs w:val="22"/>
        </w:rPr>
        <w:t>十一、做好节约型公共机构建设要求</w:t>
      </w:r>
    </w:p>
    <w:p w14:paraId="25A01595">
      <w:pPr>
        <w:spacing w:line="440" w:lineRule="exact"/>
        <w:ind w:firstLine="480" w:firstLineChars="200"/>
        <w:contextualSpacing/>
        <w:rPr>
          <w:rFonts w:ascii="宋体" w:hAnsi="宋体" w:cs="宋体"/>
          <w:color w:val="121212"/>
          <w:sz w:val="24"/>
          <w:szCs w:val="22"/>
        </w:rPr>
      </w:pPr>
      <w:r>
        <w:rPr>
          <w:rFonts w:ascii="宋体" w:hAnsi="宋体" w:cs="宋体"/>
          <w:bCs/>
          <w:color w:val="121212"/>
          <w:sz w:val="24"/>
          <w:szCs w:val="22"/>
        </w:rPr>
        <w:t>为深入贯彻落实《党政机关厉行节约反对浪费条例》《公共机构节能条例》，物业管理服务要向绿色低碳转型，助力节约型公共机构建设，提升能源利用效率、降低公共机构运行成本。中标人要做好在节能、节水、反食品浪费、生活垃圾分类等领域中，助力节约型公共机构建设。严格履行北京市机关事务管理局制定的《</w:t>
      </w:r>
      <w:r>
        <w:rPr>
          <w:rFonts w:hint="eastAsia" w:ascii="宋体" w:hAnsi="宋体" w:cs="宋体"/>
          <w:bCs/>
          <w:color w:val="121212"/>
          <w:sz w:val="24"/>
          <w:szCs w:val="22"/>
        </w:rPr>
        <w:t>关于物业管理服务政府采购项目中节约型公共机构建设相关要求的指导意见》</w:t>
      </w:r>
    </w:p>
    <w:p w14:paraId="7856A2DA">
      <w:pPr>
        <w:spacing w:line="440" w:lineRule="exact"/>
        <w:ind w:firstLine="0" w:firstLineChars="0"/>
        <w:contextualSpacing/>
        <w:rPr>
          <w:rFonts w:hint="eastAsia" w:ascii="宋体" w:hAnsi="宋体" w:cs="宋体"/>
          <w:color w:val="121212"/>
          <w:sz w:val="24"/>
          <w:szCs w:val="22"/>
        </w:rPr>
      </w:pPr>
    </w:p>
    <w:p w14:paraId="117CB045">
      <w:pPr>
        <w:spacing w:line="440" w:lineRule="exact"/>
        <w:contextualSpacing/>
        <w:rPr>
          <w:rFonts w:ascii="宋体" w:hAnsi="宋体" w:cs="宋体"/>
          <w:b/>
          <w:color w:val="121212"/>
          <w:sz w:val="24"/>
          <w:szCs w:val="22"/>
        </w:rPr>
      </w:pPr>
      <w:r>
        <w:rPr>
          <w:rFonts w:hint="eastAsia" w:ascii="宋体" w:hAnsi="宋体" w:cs="宋体"/>
          <w:b/>
          <w:color w:val="121212"/>
          <w:sz w:val="24"/>
          <w:szCs w:val="22"/>
        </w:rPr>
        <w:t>十</w:t>
      </w:r>
      <w:r>
        <w:rPr>
          <w:rFonts w:ascii="宋体" w:hAnsi="宋体" w:cs="宋体"/>
          <w:b/>
          <w:color w:val="121212"/>
          <w:sz w:val="24"/>
          <w:szCs w:val="22"/>
        </w:rPr>
        <w:t>二</w:t>
      </w:r>
      <w:r>
        <w:rPr>
          <w:rFonts w:hint="eastAsia" w:ascii="宋体" w:hAnsi="宋体" w:cs="宋体"/>
          <w:b/>
          <w:color w:val="121212"/>
          <w:sz w:val="24"/>
          <w:szCs w:val="22"/>
        </w:rPr>
        <w:t>、其他要求</w:t>
      </w:r>
    </w:p>
    <w:p w14:paraId="2B1C8BE6">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1.服务单位在合同签订后应开始行磨合，设备设施熟悉和签收工作。未经许可不得对地面、墙面、吊顶等建筑设施做任何改动、破坏；服务单位自带的家具设施需征得采购单位同意，并符合国家相关标准要求。</w:t>
      </w:r>
    </w:p>
    <w:p w14:paraId="51F96DEE">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2. 服务单位在服务过程中遵守国家各项法律法规和采购单位有关管理规定，不在本服务场地进行与采购单位服务项目无关的商业宣传活动。</w:t>
      </w:r>
    </w:p>
    <w:p w14:paraId="77AC2ACC">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3. 服务单位需独立承担本服务项目的法律责任，自觉按相关部门的要求办理有关服务证件、手续和缴纳费用，承担服务期间所发生的一切事故（如工伤、财产设备损失和人身伤害事故等）的赔偿和法律责任。服务单位为本服务项目的物业、卫生、防疫等工作的责任人，自觉根据相关要求做好工作。该区域内的环境卫生、垃圾清运等工作由中标单位负责。</w:t>
      </w:r>
    </w:p>
    <w:p w14:paraId="79036886">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4. 服务单位应保持服务员工及管理者的相对稳定，如不符合服务要求，采购单位可要求服务单位更换人员。</w:t>
      </w:r>
    </w:p>
    <w:p w14:paraId="52593225">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5</w:t>
      </w:r>
      <w:r>
        <w:rPr>
          <w:rFonts w:hint="eastAsia" w:ascii="宋体" w:hAnsi="宋体" w:cs="宋体"/>
          <w:color w:val="121212"/>
          <w:sz w:val="24"/>
          <w:szCs w:val="22"/>
        </w:rPr>
        <w:t>. 采购单位采购的设备材料及物资只能在乐团范围内提供服务，不允许带出园区。</w:t>
      </w:r>
    </w:p>
    <w:p w14:paraId="1D33A628">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6</w:t>
      </w:r>
      <w:r>
        <w:rPr>
          <w:rFonts w:hint="eastAsia" w:ascii="宋体" w:hAnsi="宋体" w:cs="宋体"/>
          <w:color w:val="121212"/>
          <w:sz w:val="24"/>
          <w:szCs w:val="22"/>
        </w:rPr>
        <w:t>.在服务期间的服务内容需符合本次招标要求和合同约定，未事先征得采购单位同意不得随意改变服务种类和服务内容。</w:t>
      </w:r>
    </w:p>
    <w:p w14:paraId="30AE2C33">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7</w:t>
      </w:r>
      <w:r>
        <w:rPr>
          <w:rFonts w:hint="eastAsia" w:ascii="宋体" w:hAnsi="宋体" w:cs="宋体"/>
          <w:color w:val="121212"/>
          <w:sz w:val="24"/>
          <w:szCs w:val="22"/>
        </w:rPr>
        <w:t>.在合同签订后30日内，服务单位需向采购单位支付招标文件约定的履约保证金，履约保证金的有效期到合同期满为止，履约保证金币种仅限于人民币。</w:t>
      </w:r>
    </w:p>
    <w:p w14:paraId="686E49FE">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8</w:t>
      </w:r>
      <w:r>
        <w:rPr>
          <w:rFonts w:hint="eastAsia" w:ascii="宋体" w:hAnsi="宋体" w:cs="宋体"/>
          <w:color w:val="121212"/>
          <w:sz w:val="24"/>
          <w:szCs w:val="22"/>
        </w:rPr>
        <w:t>.履约保证金用以应对不可预见的履约风险，在服务期限到期后扣除应扣部分（如有）后退还（不计利息），如因服务单位原因导致服务提前终止，保证金不予退还。</w:t>
      </w:r>
    </w:p>
    <w:p w14:paraId="54F9696E">
      <w:pPr>
        <w:spacing w:line="440" w:lineRule="exact"/>
        <w:ind w:firstLine="470" w:firstLineChars="196"/>
        <w:contextualSpacing/>
        <w:rPr>
          <w:rFonts w:ascii="宋体" w:hAnsi="宋体" w:cs="宋体"/>
          <w:color w:val="121212"/>
          <w:sz w:val="24"/>
          <w:szCs w:val="22"/>
        </w:rPr>
      </w:pPr>
      <w:r>
        <w:rPr>
          <w:rFonts w:ascii="宋体" w:hAnsi="宋体" w:cs="宋体"/>
          <w:color w:val="121212"/>
          <w:sz w:val="24"/>
          <w:szCs w:val="22"/>
        </w:rPr>
        <w:t>9</w:t>
      </w:r>
      <w:r>
        <w:rPr>
          <w:rFonts w:hint="eastAsia" w:ascii="宋体" w:hAnsi="宋体" w:cs="宋体"/>
          <w:color w:val="121212"/>
          <w:sz w:val="24"/>
          <w:szCs w:val="22"/>
        </w:rPr>
        <w:t>. 服务单位需接受采购单位有关部门的消防、人防、技防等安全管理和监督。</w:t>
      </w:r>
    </w:p>
    <w:p w14:paraId="30DD65D5">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0</w:t>
      </w:r>
      <w:r>
        <w:rPr>
          <w:rFonts w:hint="eastAsia" w:ascii="宋体" w:hAnsi="宋体" w:cs="宋体"/>
          <w:color w:val="121212"/>
          <w:sz w:val="24"/>
          <w:szCs w:val="22"/>
        </w:rPr>
        <w:t>. 服务单位若违反上述招标需求的，采购单位有权解除合同，并且赔偿采购单位因该等违约行为遭受的全部损失，包括但不限于仲裁费、诉讼费、律师费、差旅费、支付给他人的赔偿金或补偿金等。</w:t>
      </w:r>
    </w:p>
    <w:p w14:paraId="3F1AA79E">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1</w:t>
      </w:r>
      <w:r>
        <w:rPr>
          <w:rFonts w:hint="eastAsia" w:ascii="宋体" w:hAnsi="宋体" w:cs="宋体"/>
          <w:color w:val="121212"/>
          <w:sz w:val="24"/>
          <w:szCs w:val="22"/>
        </w:rPr>
        <w:t>. 服务单位应指定专门的项目负责人与招标人保持联系，随时解决各类问题。</w:t>
      </w:r>
    </w:p>
    <w:p w14:paraId="6060E3F7">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2</w:t>
      </w:r>
      <w:r>
        <w:rPr>
          <w:rFonts w:hint="eastAsia" w:ascii="宋体" w:hAnsi="宋体" w:cs="宋体"/>
          <w:color w:val="121212"/>
          <w:sz w:val="24"/>
          <w:szCs w:val="22"/>
        </w:rPr>
        <w:t>. 服务单位需对招标文件中提出的服务内容和各项要求做出明确的承诺，说明是否可以达到相应的标准以及如何达到。</w:t>
      </w:r>
    </w:p>
    <w:p w14:paraId="09D170DB">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3</w:t>
      </w:r>
      <w:r>
        <w:rPr>
          <w:rFonts w:hint="eastAsia" w:ascii="宋体" w:hAnsi="宋体" w:cs="宋体"/>
          <w:color w:val="121212"/>
          <w:sz w:val="24"/>
          <w:szCs w:val="22"/>
        </w:rPr>
        <w:t>.服务方案和相关服务承诺应内容明确，范围清楚，内容真实可行，并需真实可靠，否则一切后果投标人自负。</w:t>
      </w:r>
    </w:p>
    <w:p w14:paraId="0F802FC8">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4</w:t>
      </w:r>
      <w:r>
        <w:rPr>
          <w:rFonts w:hint="eastAsia" w:ascii="宋体" w:hAnsi="宋体" w:cs="宋体"/>
          <w:color w:val="121212"/>
          <w:sz w:val="24"/>
          <w:szCs w:val="22"/>
        </w:rPr>
        <w:t>. 服务单位可根据自身条件，说明可能给予招标人的优惠服务，这些优惠服务需是符合国家相关规定的、与服务项目相关的内容。</w:t>
      </w:r>
    </w:p>
    <w:p w14:paraId="600DFF55">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5</w:t>
      </w:r>
      <w:r>
        <w:rPr>
          <w:rFonts w:hint="eastAsia" w:ascii="宋体" w:hAnsi="宋体" w:cs="宋体"/>
          <w:color w:val="121212"/>
          <w:sz w:val="24"/>
          <w:szCs w:val="22"/>
        </w:rPr>
        <w:t>. 服务单位提供的优惠服务将作为评标的一个因素。</w:t>
      </w:r>
    </w:p>
    <w:p w14:paraId="25C8D47D">
      <w:pPr>
        <w:spacing w:line="440" w:lineRule="exact"/>
        <w:ind w:firstLine="470" w:firstLineChars="196"/>
        <w:contextualSpacing/>
        <w:rPr>
          <w:rFonts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6</w:t>
      </w:r>
      <w:r>
        <w:rPr>
          <w:rFonts w:hint="eastAsia" w:ascii="宋体" w:hAnsi="宋体" w:cs="宋体"/>
          <w:color w:val="121212"/>
          <w:sz w:val="24"/>
          <w:szCs w:val="22"/>
        </w:rPr>
        <w:t>.除服务单位提出的各项服务要求外，服务单位可根据业务开展情况，说明可提供的其他特色服务。</w:t>
      </w:r>
    </w:p>
    <w:p w14:paraId="38882F28">
      <w:pPr>
        <w:spacing w:line="440" w:lineRule="exact"/>
        <w:ind w:firstLine="470" w:firstLineChars="196"/>
        <w:contextualSpacing/>
        <w:rPr>
          <w:rFonts w:hint="eastAsia" w:ascii="宋体" w:hAnsi="宋体" w:cs="宋体"/>
          <w:color w:val="121212"/>
          <w:sz w:val="24"/>
          <w:szCs w:val="22"/>
        </w:rPr>
      </w:pPr>
      <w:r>
        <w:rPr>
          <w:rFonts w:hint="eastAsia" w:ascii="宋体" w:hAnsi="宋体" w:cs="宋体"/>
          <w:color w:val="121212"/>
          <w:sz w:val="24"/>
          <w:szCs w:val="22"/>
        </w:rPr>
        <w:t>1</w:t>
      </w:r>
      <w:r>
        <w:rPr>
          <w:rFonts w:ascii="宋体" w:hAnsi="宋体" w:cs="宋体"/>
          <w:color w:val="121212"/>
          <w:sz w:val="24"/>
          <w:szCs w:val="22"/>
        </w:rPr>
        <w:t>7.</w:t>
      </w:r>
      <w:r>
        <w:rPr>
          <w:rFonts w:hint="eastAsia"/>
        </w:rPr>
        <w:t xml:space="preserve"> </w:t>
      </w:r>
      <w:r>
        <w:rPr>
          <w:rFonts w:hint="eastAsia" w:ascii="宋体" w:hAnsi="宋体" w:cs="宋体"/>
          <w:color w:val="121212"/>
          <w:sz w:val="24"/>
          <w:szCs w:val="22"/>
        </w:rPr>
        <w:t>政策性采购需求</w:t>
      </w:r>
    </w:p>
    <w:p w14:paraId="5EB5F1E3">
      <w:pPr>
        <w:spacing w:line="440" w:lineRule="exact"/>
        <w:ind w:firstLine="470" w:firstLineChars="196"/>
        <w:contextualSpacing/>
        <w:rPr>
          <w:rFonts w:hint="eastAsia" w:ascii="宋体" w:hAnsi="宋体" w:cs="宋体"/>
          <w:color w:val="121212"/>
          <w:sz w:val="24"/>
          <w:szCs w:val="22"/>
        </w:rPr>
      </w:pPr>
      <w:r>
        <w:rPr>
          <w:rFonts w:ascii="宋体" w:hAnsi="宋体" w:cs="宋体"/>
          <w:color w:val="121212"/>
          <w:sz w:val="24"/>
          <w:szCs w:val="22"/>
        </w:rPr>
        <w:t>17</w:t>
      </w:r>
      <w:r>
        <w:rPr>
          <w:rFonts w:hint="eastAsia" w:ascii="宋体" w:hAnsi="宋体" w:cs="宋体"/>
          <w:color w:val="121212"/>
          <w:sz w:val="24"/>
          <w:szCs w:val="22"/>
        </w:rPr>
        <w:t>.1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476171D0">
      <w:pPr>
        <w:spacing w:line="440" w:lineRule="exact"/>
        <w:ind w:firstLine="470" w:firstLineChars="196"/>
        <w:contextualSpacing/>
        <w:rPr>
          <w:rFonts w:hint="eastAsia" w:ascii="宋体" w:hAnsi="宋体" w:cs="宋体"/>
          <w:color w:val="121212"/>
          <w:sz w:val="24"/>
          <w:szCs w:val="22"/>
        </w:rPr>
      </w:pPr>
      <w:r>
        <w:rPr>
          <w:rFonts w:ascii="宋体" w:hAnsi="宋体" w:cs="宋体"/>
          <w:color w:val="121212"/>
          <w:sz w:val="24"/>
          <w:szCs w:val="22"/>
        </w:rPr>
        <w:t>17</w:t>
      </w:r>
      <w:r>
        <w:rPr>
          <w:rFonts w:hint="eastAsia" w:ascii="宋体" w:hAnsi="宋体" w:cs="宋体"/>
          <w:color w:val="121212"/>
          <w:sz w:val="24"/>
          <w:szCs w:val="22"/>
        </w:rPr>
        <w:t>.2落实《北京市公共场所室内温度控制导则（试行）》（京发改〔2022〕1673号）关于公共建筑和空间的室内温度控制相关要求。</w:t>
      </w:r>
    </w:p>
    <w:p w14:paraId="4EE1BE99">
      <w:r>
        <w:rPr>
          <w:rFonts w:ascii="宋体" w:hAnsi="宋体" w:cs="宋体"/>
          <w:color w:val="121212"/>
          <w:sz w:val="24"/>
          <w:szCs w:val="22"/>
        </w:rPr>
        <w:t>17</w:t>
      </w:r>
      <w:r>
        <w:rPr>
          <w:rFonts w:hint="eastAsia" w:ascii="宋体" w:hAnsi="宋体" w:cs="宋体"/>
          <w:color w:val="121212"/>
          <w:sz w:val="24"/>
          <w:szCs w:val="22"/>
        </w:rPr>
        <w:t>.3照明系统建议落实《北京市党政机关、国有企事业单位办公建筑外观照明强化节能导则(试行)》(京发改〔2022〕88号）。</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B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2026-01-19T02:51:41Z</dcterms:created>
  <dc:creator>李政豪</dc:creator>
  <cp:lastModifiedBy>10674</cp:lastModifiedBy>
  <dcterms:modified xsi:type="dcterms:W3CDTF">2026-01-19T02:52:07Z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eyJoZGlkIjoiOGEzYzEwZDg1MmJiMTZmZDU4ZmQ5ODY5MmY1YTA1YzUiLCJ1c2VySWQiOiI2Njg3MjQ3MTEifQ==</vt:lpwstr>
  </property>
  <property fmtid="{D5CDD505-2E9C-101B-9397-08002B2CF9AE}" pid="4" name="ICV">
    <vt:lpwstr>27A9DA61E2EF48BA86A2BF74D56B0E95_12</vt:lpwstr>
  </property>
</Properties>
</file>